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326" w:rsidRPr="00EE36B1" w:rsidRDefault="006C1326" w:rsidP="00066425">
      <w:pPr>
        <w:widowControl w:val="0"/>
        <w:spacing w:after="360"/>
        <w:jc w:val="both"/>
        <w:rPr>
          <w:b/>
          <w:color w:val="000000"/>
          <w:sz w:val="24"/>
          <w:szCs w:val="20"/>
        </w:rPr>
      </w:pPr>
      <w:r w:rsidRPr="00EE36B1">
        <w:rPr>
          <w:b/>
          <w:color w:val="000000"/>
          <w:sz w:val="24"/>
          <w:szCs w:val="20"/>
        </w:rPr>
        <w:t>5. ТЕХНИКО-ЭКОНОМИЧЕСКИЙ АНАЛИЗ ПРОЕКТНЫХ РЕШЕНИЙ</w:t>
      </w:r>
    </w:p>
    <w:p w:rsidR="000950C6" w:rsidRPr="00DB0DBE" w:rsidRDefault="000950C6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Экономический анализ проведен по </w:t>
      </w:r>
      <w:r w:rsidR="00771C5E" w:rsidRPr="00DB0DBE">
        <w:rPr>
          <w:sz w:val="24"/>
        </w:rPr>
        <w:t>двум</w:t>
      </w:r>
      <w:r w:rsidRPr="00DB0DBE">
        <w:rPr>
          <w:sz w:val="24"/>
        </w:rPr>
        <w:t xml:space="preserve"> вариант</w:t>
      </w:r>
      <w:r w:rsidR="008F6668" w:rsidRPr="00DB0DBE">
        <w:rPr>
          <w:sz w:val="24"/>
        </w:rPr>
        <w:t>ам</w:t>
      </w:r>
      <w:r w:rsidRPr="00DB0DBE">
        <w:rPr>
          <w:sz w:val="24"/>
        </w:rPr>
        <w:t>, для оценки возможных финансовых и экономических пос</w:t>
      </w:r>
      <w:r w:rsidR="008F6668" w:rsidRPr="00DB0DBE">
        <w:rPr>
          <w:sz w:val="24"/>
        </w:rPr>
        <w:t>ледствии реализации рассмотренных</w:t>
      </w:r>
      <w:r w:rsidRPr="00DB0DBE">
        <w:rPr>
          <w:sz w:val="24"/>
        </w:rPr>
        <w:t xml:space="preserve"> вариант</w:t>
      </w:r>
      <w:r w:rsidR="008F6668" w:rsidRPr="00DB0DBE">
        <w:rPr>
          <w:sz w:val="24"/>
        </w:rPr>
        <w:t>ов</w:t>
      </w:r>
      <w:r w:rsidRPr="00DB0DBE">
        <w:rPr>
          <w:sz w:val="24"/>
        </w:rPr>
        <w:t xml:space="preserve"> разработки, измерить совокупные затраты инвестора и выгоды от реализации вариант</w:t>
      </w:r>
      <w:r w:rsidR="008F6668" w:rsidRPr="00DB0DBE">
        <w:rPr>
          <w:sz w:val="24"/>
        </w:rPr>
        <w:t>ов</w:t>
      </w:r>
      <w:r w:rsidRPr="00DB0DBE">
        <w:rPr>
          <w:sz w:val="24"/>
        </w:rPr>
        <w:t>.</w:t>
      </w:r>
    </w:p>
    <w:p w:rsidR="008F6668" w:rsidRPr="00DB0DBE" w:rsidRDefault="000950C6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Анализировались: проектный уровень добычи нефти, срок достижения экономического предела, срок окупаемости инвестиций, капитальные вложения, эксплуатационные затраты, чистая прибыль, накопленный поток денежной наличности и экономические показатели. Результаты технико-экономических расчетов приведены в таблице </w:t>
      </w:r>
      <w:r w:rsidR="000F6085" w:rsidRPr="00DB0DBE">
        <w:rPr>
          <w:sz w:val="24"/>
        </w:rPr>
        <w:t>5</w:t>
      </w:r>
      <w:r w:rsidR="008F6668" w:rsidRPr="00DB0DBE">
        <w:rPr>
          <w:sz w:val="24"/>
        </w:rPr>
        <w:t>.1.</w:t>
      </w:r>
      <w:r w:rsidRPr="00DB0DBE">
        <w:rPr>
          <w:sz w:val="24"/>
        </w:rPr>
        <w:t xml:space="preserve"> </w:t>
      </w:r>
    </w:p>
    <w:p w:rsidR="000950C6" w:rsidRPr="00DB0DBE" w:rsidRDefault="000950C6" w:rsidP="00066425">
      <w:pPr>
        <w:spacing w:line="360" w:lineRule="auto"/>
        <w:ind w:left="-284" w:firstLine="710"/>
        <w:jc w:val="both"/>
        <w:rPr>
          <w:b/>
          <w:sz w:val="24"/>
        </w:rPr>
      </w:pPr>
      <w:r w:rsidRPr="00DB0DBE">
        <w:rPr>
          <w:b/>
          <w:sz w:val="24"/>
        </w:rPr>
        <w:t>Результаты расчетов:</w:t>
      </w:r>
    </w:p>
    <w:p w:rsidR="000950C6" w:rsidRPr="00DB0DBE" w:rsidRDefault="000950C6" w:rsidP="00066425">
      <w:pPr>
        <w:spacing w:line="360" w:lineRule="auto"/>
        <w:ind w:left="-284"/>
        <w:jc w:val="both"/>
        <w:rPr>
          <w:sz w:val="24"/>
        </w:rPr>
      </w:pPr>
      <w:r w:rsidRPr="00DB0DBE">
        <w:rPr>
          <w:sz w:val="24"/>
        </w:rPr>
        <w:t>Рентабельный период составил:</w:t>
      </w:r>
    </w:p>
    <w:p w:rsidR="000950C6" w:rsidRPr="00DB0DBE" w:rsidRDefault="000950C6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1 вариант </w:t>
      </w:r>
      <w:r w:rsidR="003F1683" w:rsidRPr="00DB0DBE">
        <w:rPr>
          <w:sz w:val="24"/>
        </w:rPr>
        <w:t>–</w:t>
      </w:r>
      <w:r w:rsidRPr="00DB0DBE">
        <w:rPr>
          <w:sz w:val="24"/>
        </w:rPr>
        <w:t xml:space="preserve"> 202</w:t>
      </w:r>
      <w:r w:rsidR="00514D9E" w:rsidRPr="00DB0DBE">
        <w:rPr>
          <w:sz w:val="24"/>
        </w:rPr>
        <w:t>2</w:t>
      </w:r>
      <w:r w:rsidR="003F1683" w:rsidRPr="00DB0DBE">
        <w:rPr>
          <w:sz w:val="24"/>
        </w:rPr>
        <w:t xml:space="preserve"> </w:t>
      </w:r>
      <w:r w:rsidRPr="00DB0DBE">
        <w:rPr>
          <w:sz w:val="24"/>
        </w:rPr>
        <w:t>- 20</w:t>
      </w:r>
      <w:r w:rsidR="00773820" w:rsidRPr="00DB0DBE">
        <w:rPr>
          <w:sz w:val="24"/>
        </w:rPr>
        <w:t>49</w:t>
      </w:r>
      <w:r w:rsidRPr="00DB0DBE">
        <w:rPr>
          <w:sz w:val="24"/>
        </w:rPr>
        <w:t>гг.</w:t>
      </w:r>
    </w:p>
    <w:p w:rsidR="000950C6" w:rsidRPr="00DB0DBE" w:rsidRDefault="000950C6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2 вариант – 202</w:t>
      </w:r>
      <w:r w:rsidR="00514D9E" w:rsidRPr="00DB0DBE">
        <w:rPr>
          <w:sz w:val="24"/>
        </w:rPr>
        <w:t>2</w:t>
      </w:r>
      <w:r w:rsidRPr="00DB0DBE">
        <w:rPr>
          <w:sz w:val="24"/>
        </w:rPr>
        <w:t xml:space="preserve"> - 20</w:t>
      </w:r>
      <w:r w:rsidR="00771C5E" w:rsidRPr="00DB0DBE">
        <w:rPr>
          <w:sz w:val="24"/>
        </w:rPr>
        <w:t>5</w:t>
      </w:r>
      <w:r w:rsidR="00B25ED1" w:rsidRPr="00DB0DBE">
        <w:rPr>
          <w:sz w:val="24"/>
        </w:rPr>
        <w:t>4</w:t>
      </w:r>
      <w:r w:rsidRPr="00DB0DBE">
        <w:rPr>
          <w:sz w:val="24"/>
        </w:rPr>
        <w:t>гг.</w:t>
      </w:r>
    </w:p>
    <w:p w:rsidR="000950C6" w:rsidRPr="00DB0DBE" w:rsidRDefault="000950C6" w:rsidP="00066425">
      <w:pPr>
        <w:spacing w:line="360" w:lineRule="auto"/>
        <w:ind w:left="-284"/>
        <w:jc w:val="both"/>
        <w:rPr>
          <w:sz w:val="24"/>
        </w:rPr>
      </w:pPr>
      <w:r w:rsidRPr="00DB0DBE">
        <w:rPr>
          <w:sz w:val="24"/>
        </w:rPr>
        <w:t xml:space="preserve">Объем необходимых </w:t>
      </w:r>
      <w:r w:rsidR="00183A20" w:rsidRPr="00DB0DBE">
        <w:rPr>
          <w:sz w:val="24"/>
        </w:rPr>
        <w:t>капитальных вложении</w:t>
      </w:r>
      <w:r w:rsidRPr="00DB0DBE">
        <w:rPr>
          <w:sz w:val="24"/>
        </w:rPr>
        <w:t xml:space="preserve"> при расчете за </w:t>
      </w:r>
      <w:r w:rsidR="00095AC4" w:rsidRPr="00DB0DBE">
        <w:rPr>
          <w:sz w:val="24"/>
        </w:rPr>
        <w:t>рентабельный</w:t>
      </w:r>
      <w:r w:rsidRPr="00DB0DBE">
        <w:rPr>
          <w:sz w:val="24"/>
        </w:rPr>
        <w:t xml:space="preserve"> период составляет:</w:t>
      </w:r>
    </w:p>
    <w:p w:rsidR="00AD1B3E" w:rsidRPr="00DB0DBE" w:rsidRDefault="00AD1B3E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1 вариант –</w:t>
      </w:r>
      <w:r w:rsidR="00514D9E" w:rsidRPr="00DB0DBE">
        <w:rPr>
          <w:sz w:val="24"/>
        </w:rPr>
        <w:t xml:space="preserve"> </w:t>
      </w:r>
      <w:r w:rsidR="00771C5E" w:rsidRPr="00DB0DBE">
        <w:rPr>
          <w:sz w:val="24"/>
        </w:rPr>
        <w:t>13908,1</w:t>
      </w:r>
      <w:r w:rsidR="00514D9E" w:rsidRPr="00DB0DBE">
        <w:rPr>
          <w:sz w:val="24"/>
        </w:rPr>
        <w:t xml:space="preserve"> </w:t>
      </w:r>
      <w:r w:rsidRPr="00DB0DBE">
        <w:rPr>
          <w:sz w:val="24"/>
        </w:rPr>
        <w:t>млн. тг.</w:t>
      </w:r>
    </w:p>
    <w:p w:rsidR="00AD1B3E" w:rsidRPr="00DB0DBE" w:rsidRDefault="00AD1B3E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2 вариант –</w:t>
      </w:r>
      <w:r w:rsidR="00514D9E" w:rsidRPr="00DB0DBE">
        <w:rPr>
          <w:sz w:val="24"/>
        </w:rPr>
        <w:t xml:space="preserve"> </w:t>
      </w:r>
      <w:r w:rsidR="00771C5E" w:rsidRPr="00DB0DBE">
        <w:rPr>
          <w:sz w:val="24"/>
        </w:rPr>
        <w:t>10440,0</w:t>
      </w:r>
      <w:r w:rsidR="00514D9E" w:rsidRPr="00DB0DBE">
        <w:rPr>
          <w:sz w:val="24"/>
        </w:rPr>
        <w:t xml:space="preserve"> </w:t>
      </w:r>
      <w:r w:rsidRPr="00DB0DBE">
        <w:rPr>
          <w:sz w:val="24"/>
        </w:rPr>
        <w:t>млн. тг.</w:t>
      </w:r>
    </w:p>
    <w:p w:rsidR="000D758A" w:rsidRPr="00DB0DBE" w:rsidRDefault="000D758A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Максимальные капитальные вложения приходятся на первый вариант, что связано с бурением 9 вертикальных скважин, по второму предусматривается бурение 2 наклонно-направленных скважин.</w:t>
      </w:r>
    </w:p>
    <w:p w:rsidR="000950C6" w:rsidRPr="00DB0DBE" w:rsidRDefault="000950C6" w:rsidP="00066425">
      <w:pPr>
        <w:spacing w:line="360" w:lineRule="auto"/>
        <w:ind w:left="-284"/>
        <w:jc w:val="both"/>
        <w:rPr>
          <w:sz w:val="24"/>
        </w:rPr>
      </w:pPr>
      <w:r w:rsidRPr="00DB0DBE">
        <w:rPr>
          <w:sz w:val="24"/>
        </w:rPr>
        <w:t xml:space="preserve">Суммарные эксплуатационные затраты за </w:t>
      </w:r>
      <w:r w:rsidR="00095AC4" w:rsidRPr="00DB0DBE">
        <w:rPr>
          <w:sz w:val="24"/>
        </w:rPr>
        <w:t xml:space="preserve">рентабельный </w:t>
      </w:r>
      <w:r w:rsidRPr="00DB0DBE">
        <w:rPr>
          <w:sz w:val="24"/>
        </w:rPr>
        <w:t>период составляют:</w:t>
      </w:r>
    </w:p>
    <w:p w:rsidR="00095AC4" w:rsidRPr="00DB0DBE" w:rsidRDefault="00095AC4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1 вариант – 32</w:t>
      </w:r>
      <w:r w:rsidR="00503695">
        <w:rPr>
          <w:sz w:val="24"/>
        </w:rPr>
        <w:t>2766</w:t>
      </w:r>
      <w:r w:rsidRPr="00DB0DBE">
        <w:rPr>
          <w:sz w:val="24"/>
        </w:rPr>
        <w:t>,</w:t>
      </w:r>
      <w:r w:rsidR="00503695">
        <w:rPr>
          <w:sz w:val="24"/>
        </w:rPr>
        <w:t>0</w:t>
      </w:r>
      <w:r w:rsidRPr="00DB0DBE">
        <w:rPr>
          <w:sz w:val="24"/>
        </w:rPr>
        <w:t xml:space="preserve"> млн. тг</w:t>
      </w:r>
    </w:p>
    <w:p w:rsidR="00095AC4" w:rsidRPr="00DB0DBE" w:rsidRDefault="00095AC4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2 вариант – 42</w:t>
      </w:r>
      <w:r w:rsidR="00503695">
        <w:rPr>
          <w:sz w:val="24"/>
        </w:rPr>
        <w:t>5848</w:t>
      </w:r>
      <w:r w:rsidRPr="00DB0DBE">
        <w:rPr>
          <w:sz w:val="24"/>
        </w:rPr>
        <w:t>,</w:t>
      </w:r>
      <w:r w:rsidR="00503695">
        <w:rPr>
          <w:sz w:val="24"/>
        </w:rPr>
        <w:t>1</w:t>
      </w:r>
      <w:r w:rsidRPr="00DB0DBE">
        <w:rPr>
          <w:sz w:val="24"/>
        </w:rPr>
        <w:t xml:space="preserve"> млн. тг.</w:t>
      </w:r>
    </w:p>
    <w:p w:rsidR="000D758A" w:rsidRPr="00DB0DBE" w:rsidRDefault="000D758A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Максимальные эксплуатационные затраты приходятся на 2 вариант, что связано с наибольшей добычей и продолжительным сроком разработки. </w:t>
      </w:r>
    </w:p>
    <w:p w:rsidR="00471B9C" w:rsidRPr="00DB0DBE" w:rsidRDefault="00471B9C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Накопленный дисконтированный поток наличности Государства за </w:t>
      </w:r>
      <w:r w:rsidR="00095AC4" w:rsidRPr="00DB0DBE">
        <w:rPr>
          <w:sz w:val="24"/>
        </w:rPr>
        <w:t xml:space="preserve">рентабельный </w:t>
      </w:r>
      <w:r w:rsidRPr="00DB0DBE">
        <w:rPr>
          <w:sz w:val="24"/>
        </w:rPr>
        <w:t xml:space="preserve">период, при ставке дисконта </w:t>
      </w:r>
      <w:r w:rsidR="00B05F57" w:rsidRPr="00DB0DBE">
        <w:rPr>
          <w:sz w:val="24"/>
        </w:rPr>
        <w:t>10,85</w:t>
      </w:r>
      <w:r w:rsidRPr="00DB0DBE">
        <w:rPr>
          <w:sz w:val="24"/>
        </w:rPr>
        <w:t>% имеет следующую величину:</w:t>
      </w:r>
    </w:p>
    <w:p w:rsidR="00095AC4" w:rsidRPr="00DB0DBE" w:rsidRDefault="00095AC4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1 вариант – </w:t>
      </w:r>
      <w:r w:rsidR="00503695">
        <w:rPr>
          <w:sz w:val="24"/>
        </w:rPr>
        <w:t>60137,0</w:t>
      </w:r>
      <w:r w:rsidRPr="00DB0DBE">
        <w:rPr>
          <w:sz w:val="24"/>
        </w:rPr>
        <w:t xml:space="preserve"> млн. тг.</w:t>
      </w:r>
    </w:p>
    <w:p w:rsidR="00095AC4" w:rsidRPr="00DB0DBE" w:rsidRDefault="00095AC4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2 вариант – </w:t>
      </w:r>
      <w:r w:rsidR="00503695">
        <w:rPr>
          <w:sz w:val="24"/>
        </w:rPr>
        <w:t>75141,7</w:t>
      </w:r>
      <w:r w:rsidRPr="00DB0DBE">
        <w:rPr>
          <w:sz w:val="24"/>
        </w:rPr>
        <w:t xml:space="preserve"> млн. тг.</w:t>
      </w:r>
    </w:p>
    <w:p w:rsidR="000950C6" w:rsidRPr="00DB0DBE" w:rsidRDefault="000950C6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Накопленный дисконтированный поток наличности (Чистая приведенная стоимость) за </w:t>
      </w:r>
      <w:r w:rsidR="00095AC4" w:rsidRPr="00DB0DBE">
        <w:rPr>
          <w:sz w:val="24"/>
        </w:rPr>
        <w:t xml:space="preserve">рентабельный </w:t>
      </w:r>
      <w:r w:rsidRPr="00DB0DBE">
        <w:rPr>
          <w:sz w:val="24"/>
        </w:rPr>
        <w:t xml:space="preserve">период, при ставке дисконта </w:t>
      </w:r>
      <w:r w:rsidR="00B05F57" w:rsidRPr="00DB0DBE">
        <w:rPr>
          <w:sz w:val="24"/>
        </w:rPr>
        <w:t>10,85</w:t>
      </w:r>
      <w:r w:rsidRPr="00DB0DBE">
        <w:rPr>
          <w:sz w:val="24"/>
        </w:rPr>
        <w:t>% имеет следующую величину:</w:t>
      </w:r>
    </w:p>
    <w:p w:rsidR="00095AC4" w:rsidRPr="00DB0DBE" w:rsidRDefault="00095AC4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1 вариант – </w:t>
      </w:r>
      <w:r w:rsidR="00503695">
        <w:rPr>
          <w:sz w:val="24"/>
        </w:rPr>
        <w:t>20344,3</w:t>
      </w:r>
      <w:r w:rsidRPr="00DB0DBE">
        <w:rPr>
          <w:sz w:val="24"/>
        </w:rPr>
        <w:t xml:space="preserve"> млн. тг.</w:t>
      </w:r>
    </w:p>
    <w:p w:rsidR="00095AC4" w:rsidRPr="00DB0DBE" w:rsidRDefault="00095AC4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 xml:space="preserve">2 вариант – </w:t>
      </w:r>
      <w:r w:rsidR="00503695">
        <w:rPr>
          <w:sz w:val="24"/>
        </w:rPr>
        <w:t>32945,4</w:t>
      </w:r>
      <w:r w:rsidRPr="00DB0DBE">
        <w:rPr>
          <w:sz w:val="24"/>
        </w:rPr>
        <w:t xml:space="preserve"> млн. тг.</w:t>
      </w:r>
    </w:p>
    <w:p w:rsidR="00C661DB" w:rsidRPr="00DB0DBE" w:rsidRDefault="00C661DB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Максимальный ЧПС получен по второму варианту.</w:t>
      </w:r>
    </w:p>
    <w:p w:rsidR="00C661DB" w:rsidRPr="00AD1B3E" w:rsidRDefault="00C661DB" w:rsidP="00066425">
      <w:pPr>
        <w:spacing w:line="360" w:lineRule="auto"/>
        <w:ind w:left="-284" w:firstLine="710"/>
        <w:jc w:val="both"/>
        <w:rPr>
          <w:sz w:val="24"/>
        </w:rPr>
      </w:pPr>
      <w:r w:rsidRPr="00DB0DBE">
        <w:rPr>
          <w:sz w:val="24"/>
        </w:rPr>
        <w:t>При реализации второго варианта Государство получает максимальные поступления в виде налогов.</w:t>
      </w:r>
    </w:p>
    <w:p w:rsidR="000950C6" w:rsidRDefault="000950C6" w:rsidP="00066425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lastRenderedPageBreak/>
        <w:t xml:space="preserve">Таким образом, рентабельным является </w:t>
      </w:r>
      <w:r w:rsidR="00771C5E">
        <w:rPr>
          <w:sz w:val="24"/>
        </w:rPr>
        <w:t>второй</w:t>
      </w:r>
      <w:r w:rsidRPr="000950C6">
        <w:rPr>
          <w:sz w:val="24"/>
        </w:rPr>
        <w:t xml:space="preserve"> вариант</w:t>
      </w:r>
      <w:r w:rsidR="000818DD">
        <w:rPr>
          <w:sz w:val="24"/>
        </w:rPr>
        <w:t xml:space="preserve">, по которому </w:t>
      </w:r>
      <w:r w:rsidR="000D758A">
        <w:rPr>
          <w:sz w:val="24"/>
        </w:rPr>
        <w:t xml:space="preserve">при меньших капитальных вложениях </w:t>
      </w:r>
      <w:r w:rsidR="000818DD">
        <w:rPr>
          <w:sz w:val="24"/>
        </w:rPr>
        <w:t>недропользователь и Государство получают максимальную</w:t>
      </w:r>
      <w:r w:rsidRPr="000950C6">
        <w:rPr>
          <w:sz w:val="24"/>
        </w:rPr>
        <w:t xml:space="preserve"> </w:t>
      </w:r>
      <w:r w:rsidR="000818DD">
        <w:rPr>
          <w:sz w:val="24"/>
        </w:rPr>
        <w:t>выгоду</w:t>
      </w:r>
      <w:r w:rsidRPr="000950C6">
        <w:rPr>
          <w:sz w:val="24"/>
        </w:rPr>
        <w:t xml:space="preserve">. </w:t>
      </w:r>
    </w:p>
    <w:p w:rsidR="00812285" w:rsidRDefault="00812285" w:rsidP="000F6085">
      <w:pPr>
        <w:pStyle w:val="a3"/>
        <w:spacing w:before="0" w:line="240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Таблица 5.</w:t>
      </w:r>
      <w:r w:rsidRPr="005E4AB7">
        <w:rPr>
          <w:rFonts w:eastAsia="SimSun"/>
          <w:lang w:eastAsia="zh-CN"/>
        </w:rPr>
        <w:t>1</w:t>
      </w:r>
      <w:r w:rsidRPr="00EE36B1">
        <w:rPr>
          <w:rFonts w:eastAsia="SimSun"/>
          <w:lang w:eastAsia="zh-CN"/>
        </w:rPr>
        <w:t>- Технико-экономические показатели вариантов разработки по месторождению в целом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0"/>
        <w:gridCol w:w="1214"/>
        <w:gridCol w:w="1283"/>
        <w:gridCol w:w="1268"/>
      </w:tblGrid>
      <w:tr w:rsidR="00771C5E" w:rsidRPr="00DB0DBE" w:rsidTr="00DB0DBE">
        <w:trPr>
          <w:trHeight w:val="230"/>
          <w:tblHeader/>
        </w:trPr>
        <w:tc>
          <w:tcPr>
            <w:tcW w:w="5560" w:type="dxa"/>
            <w:vMerge w:val="restart"/>
            <w:shd w:val="clear" w:color="auto" w:fill="auto"/>
            <w:noWrap/>
            <w:vAlign w:val="center"/>
            <w:hideMark/>
          </w:tcPr>
          <w:p w:rsidR="00771C5E" w:rsidRPr="00DB0DBE" w:rsidRDefault="00771C5E" w:rsidP="00762BA6">
            <w:pPr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Наименование показателей</w:t>
            </w:r>
          </w:p>
        </w:tc>
        <w:tc>
          <w:tcPr>
            <w:tcW w:w="1214" w:type="dxa"/>
            <w:vMerge w:val="restart"/>
            <w:shd w:val="clear" w:color="auto" w:fill="auto"/>
            <w:noWrap/>
            <w:vAlign w:val="center"/>
            <w:hideMark/>
          </w:tcPr>
          <w:p w:rsidR="00771C5E" w:rsidRPr="00DB0DBE" w:rsidRDefault="00771C5E" w:rsidP="00762BA6">
            <w:pPr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Ед.изм.</w:t>
            </w:r>
          </w:p>
        </w:tc>
        <w:tc>
          <w:tcPr>
            <w:tcW w:w="255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71C5E" w:rsidRPr="00DB0DBE" w:rsidRDefault="00771C5E" w:rsidP="00762BA6">
            <w:pPr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Варианты</w:t>
            </w:r>
          </w:p>
        </w:tc>
      </w:tr>
      <w:tr w:rsidR="00771C5E" w:rsidRPr="00DB0DBE" w:rsidTr="00DB0DBE">
        <w:trPr>
          <w:trHeight w:val="408"/>
          <w:tblHeader/>
        </w:trPr>
        <w:tc>
          <w:tcPr>
            <w:tcW w:w="5560" w:type="dxa"/>
            <w:vMerge/>
            <w:shd w:val="clear" w:color="auto" w:fill="auto"/>
            <w:vAlign w:val="center"/>
            <w:hideMark/>
          </w:tcPr>
          <w:p w:rsidR="00771C5E" w:rsidRPr="00DB0DBE" w:rsidRDefault="00771C5E" w:rsidP="00762BA6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  <w:hideMark/>
          </w:tcPr>
          <w:p w:rsidR="00771C5E" w:rsidRPr="00DB0DBE" w:rsidRDefault="00771C5E" w:rsidP="00762BA6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vAlign w:val="center"/>
            <w:hideMark/>
          </w:tcPr>
          <w:p w:rsidR="00771C5E" w:rsidRPr="00DB0DBE" w:rsidRDefault="00771C5E" w:rsidP="00762BA6">
            <w:pPr>
              <w:jc w:val="left"/>
              <w:rPr>
                <w:b/>
                <w:bCs/>
                <w:szCs w:val="20"/>
              </w:rPr>
            </w:pPr>
          </w:p>
        </w:tc>
      </w:tr>
      <w:tr w:rsidR="00CE1248" w:rsidRPr="00DB0DBE" w:rsidTr="00DB0DBE">
        <w:trPr>
          <w:trHeight w:val="20"/>
          <w:tblHeader/>
        </w:trPr>
        <w:tc>
          <w:tcPr>
            <w:tcW w:w="5560" w:type="dxa"/>
            <w:vMerge/>
            <w:shd w:val="clear" w:color="auto" w:fill="auto"/>
            <w:vAlign w:val="center"/>
            <w:hideMark/>
          </w:tcPr>
          <w:p w:rsidR="00CE1248" w:rsidRPr="00DB0DBE" w:rsidRDefault="00CE1248" w:rsidP="00CE1248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  <w:hideMark/>
          </w:tcPr>
          <w:p w:rsidR="00CE1248" w:rsidRPr="00DB0DBE" w:rsidRDefault="00CE1248" w:rsidP="00CE1248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CE1248" w:rsidRPr="00DB0DBE" w:rsidRDefault="00CE1248" w:rsidP="00CE1248">
            <w:pPr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1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CE1248" w:rsidRPr="00DB0DBE" w:rsidRDefault="00CE1248" w:rsidP="00CE1248">
            <w:pPr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Рентаебльный период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период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2022 - 2049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2022 - 2054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Проектный уровень добычи жидкости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тыс.т/год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774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 xml:space="preserve">Проектный уровень добычи нефти 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тыс.т/год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Проектный уровень добычи попутного газа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млн.м3/год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F912C9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F912C9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  <w:bookmarkStart w:id="0" w:name="_GoBack"/>
            <w:bookmarkEnd w:id="0"/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Проектный уровень закачки воды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тыс.м3/год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665,9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766,9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Темп отбора при проектном уровне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%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 xml:space="preserve">Максимальный фонд скважин за весь срок разработки, в т.ч 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72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72347">
              <w:rPr>
                <w:sz w:val="18"/>
                <w:szCs w:val="18"/>
              </w:rPr>
              <w:t>75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747F77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добывающих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72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72347">
              <w:rPr>
                <w:sz w:val="18"/>
                <w:szCs w:val="18"/>
              </w:rPr>
              <w:t>53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66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66425">
              <w:rPr>
                <w:sz w:val="18"/>
                <w:szCs w:val="18"/>
              </w:rPr>
              <w:t>45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нагнетательных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Ввод новых скважин из бурения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200" w:firstLine="4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Нефтедобывающих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вертикальных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шт.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наклонно-направленных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шт.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 xml:space="preserve">Накопленные показатели 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добыча нефти за рентабельный период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 т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1 460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1 913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добыча нефти с начала разработки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 т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7 640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8 093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добыча жидкости за рентабельный период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 т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19 910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26 907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добыча жидкости с начала разработки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 т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42 420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49 417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закачка воды за рентабельный период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 м3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17 053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22 789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закачка воды с начала разработки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тыс. м3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36 117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41 853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Коэффициент извлечения нефти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доли 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0,453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0,480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Средняя обводненность продукции к концу разработки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%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95,3%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95,9%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Суммарная выручка от реализации товарной продукции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395 239,0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540 125,1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 xml:space="preserve">Капитальные затраты 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13 908,1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10 440,0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в строительство скважин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4 112,2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1 128,3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в нефтепромысловое строительство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9 795,9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9 311,7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Эксплуатационные затраты (без амортизации )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322 776,0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425 848,1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производственные расходы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125 618,0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155 785,8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34 641,3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44 128,6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300" w:firstLine="6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непроизводственные расходы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162 516,7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225 933,7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Эксплуатационные затраты с учетом амортизации(для налогообложения)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340 751,7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440 589,2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 xml:space="preserve">Чистые недисконтированные поступления 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- до налогообложения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213 975,6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317 479,1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- после налогообложения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47 649,9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83 819,1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- Поступления Государству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164 143,1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231 055,0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 xml:space="preserve">Чистые дисконтированные поступления 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- после налогообложения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20 344,3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32 945,4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в 15%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16 336,7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25 988,8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в 20%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13 243,0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20 652,0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DB0DBE">
              <w:rPr>
                <w:b/>
                <w:bCs/>
                <w:szCs w:val="20"/>
              </w:rPr>
              <w:t>- бюджета Государства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60 137,0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75 141,7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в 15%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47 427,1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58 414,2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в 20%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млн. тг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37 999,3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46 312,4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Индекс доходности (PI)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100" w:firstLine="2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 xml:space="preserve">          при 0% дисконта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4,43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9,03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КМГ (WACC) в 10,85%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3,10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5,32</w:t>
            </w:r>
          </w:p>
        </w:tc>
      </w:tr>
      <w:tr w:rsidR="00080C4D" w:rsidRPr="00DB0DB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в 15%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2,89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4,77</w:t>
            </w:r>
          </w:p>
        </w:tc>
      </w:tr>
      <w:tr w:rsidR="00080C4D" w:rsidRPr="00771C5E" w:rsidTr="00DB0DBE">
        <w:trPr>
          <w:trHeight w:val="20"/>
        </w:trPr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ind w:firstLineChars="400" w:firstLine="800"/>
              <w:jc w:val="left"/>
              <w:rPr>
                <w:szCs w:val="20"/>
              </w:rPr>
            </w:pPr>
            <w:r w:rsidRPr="00DB0DBE">
              <w:rPr>
                <w:szCs w:val="20"/>
              </w:rPr>
              <w:t>при ставке дисконта в 20%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080C4D" w:rsidRPr="00DB0DBE" w:rsidRDefault="00080C4D" w:rsidP="00080C4D">
            <w:pPr>
              <w:rPr>
                <w:szCs w:val="20"/>
              </w:rPr>
            </w:pPr>
            <w:r w:rsidRPr="00DB0DBE">
              <w:rPr>
                <w:szCs w:val="20"/>
              </w:rPr>
              <w:t>ед.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2,75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:rsidR="00080C4D" w:rsidRDefault="00080C4D" w:rsidP="0008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4,35</w:t>
            </w:r>
          </w:p>
        </w:tc>
      </w:tr>
    </w:tbl>
    <w:p w:rsidR="008B74D3" w:rsidRPr="008B74D3" w:rsidRDefault="008B74D3" w:rsidP="00066425">
      <w:pPr>
        <w:keepNext/>
        <w:spacing w:line="360" w:lineRule="auto"/>
        <w:ind w:firstLine="709"/>
        <w:contextualSpacing/>
        <w:jc w:val="both"/>
        <w:outlineLvl w:val="1"/>
        <w:rPr>
          <w:b/>
          <w:bCs/>
          <w:sz w:val="24"/>
        </w:rPr>
      </w:pPr>
      <w:r w:rsidRPr="008B74D3">
        <w:rPr>
          <w:b/>
          <w:bCs/>
          <w:sz w:val="24"/>
        </w:rPr>
        <w:lastRenderedPageBreak/>
        <w:t xml:space="preserve">Анализ чувствительности проекта </w:t>
      </w:r>
    </w:p>
    <w:p w:rsidR="008B74D3" w:rsidRPr="008B74D3" w:rsidRDefault="008B74D3" w:rsidP="00066425">
      <w:pPr>
        <w:spacing w:line="360" w:lineRule="auto"/>
        <w:ind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Анализ чувствительности инвестиционного проекта - это характеристика его устойчивости. При анализе устойчивости его анализируют с позиции основных экономических характеристик эффективности.</w:t>
      </w:r>
    </w:p>
    <w:p w:rsidR="008B74D3" w:rsidRPr="008B74D3" w:rsidRDefault="00F1122E" w:rsidP="00066425">
      <w:pPr>
        <w:spacing w:line="360" w:lineRule="auto"/>
        <w:ind w:firstLine="709"/>
        <w:contextualSpacing/>
        <w:jc w:val="both"/>
        <w:rPr>
          <w:sz w:val="24"/>
          <w:lang w:val="x-none" w:eastAsia="en-US"/>
        </w:rPr>
      </w:pPr>
      <w:r>
        <w:rPr>
          <w:sz w:val="24"/>
          <w:lang w:eastAsia="en-US"/>
        </w:rPr>
        <w:t>Анализ чувствительности проведен</w:t>
      </w:r>
      <w:r w:rsidR="008B74D3" w:rsidRPr="008B74D3">
        <w:rPr>
          <w:sz w:val="24"/>
          <w:lang w:eastAsia="en-US"/>
        </w:rPr>
        <w:t xml:space="preserve"> п</w:t>
      </w:r>
      <w:r w:rsidR="008B74D3" w:rsidRPr="008B74D3">
        <w:rPr>
          <w:sz w:val="24"/>
          <w:lang w:val="x-none" w:eastAsia="en-US"/>
        </w:rPr>
        <w:t xml:space="preserve">о рекомендуемому второму варианту на изменение </w:t>
      </w:r>
      <w:r w:rsidR="008B74D3" w:rsidRPr="008B74D3">
        <w:rPr>
          <w:sz w:val="24"/>
          <w:lang w:eastAsia="en-US"/>
        </w:rPr>
        <w:t>ч</w:t>
      </w:r>
      <w:r w:rsidR="008B74D3" w:rsidRPr="008B74D3">
        <w:rPr>
          <w:sz w:val="24"/>
          <w:lang w:val="x-none" w:eastAsia="en-US"/>
        </w:rPr>
        <w:t>истой приведенной стоимости денежного потока (</w:t>
      </w:r>
      <w:r w:rsidR="008B74D3" w:rsidRPr="008B74D3">
        <w:rPr>
          <w:sz w:val="24"/>
          <w:lang w:val="en-US" w:eastAsia="en-US"/>
        </w:rPr>
        <w:t>NPV</w:t>
      </w:r>
      <w:r w:rsidR="008B74D3" w:rsidRPr="008B74D3">
        <w:rPr>
          <w:sz w:val="24"/>
          <w:lang w:eastAsia="en-US"/>
        </w:rPr>
        <w:t>-</w:t>
      </w:r>
      <w:r w:rsidR="00B05F57">
        <w:rPr>
          <w:sz w:val="24"/>
          <w:lang w:eastAsia="en-US"/>
        </w:rPr>
        <w:t>10,85</w:t>
      </w:r>
      <w:r w:rsidR="008B74D3" w:rsidRPr="008B74D3">
        <w:rPr>
          <w:sz w:val="24"/>
          <w:lang w:eastAsia="en-US"/>
        </w:rPr>
        <w:t>%</w:t>
      </w:r>
      <w:r w:rsidR="008B74D3" w:rsidRPr="008B74D3">
        <w:rPr>
          <w:sz w:val="24"/>
          <w:lang w:val="x-none" w:eastAsia="en-US"/>
        </w:rPr>
        <w:t xml:space="preserve">), при изменении от базовой величины, как в сторону уменьшения, так </w:t>
      </w:r>
      <w:r w:rsidR="008B74D3" w:rsidRPr="008B74D3">
        <w:rPr>
          <w:sz w:val="24"/>
          <w:lang w:eastAsia="en-US"/>
        </w:rPr>
        <w:t xml:space="preserve">и </w:t>
      </w:r>
      <w:r w:rsidR="008B74D3" w:rsidRPr="008B74D3">
        <w:rPr>
          <w:sz w:val="24"/>
          <w:lang w:val="x-none" w:eastAsia="en-US"/>
        </w:rPr>
        <w:t>в сторону увеличения</w:t>
      </w:r>
      <w:r w:rsidR="008B74D3" w:rsidRPr="008B74D3">
        <w:rPr>
          <w:sz w:val="24"/>
          <w:lang w:eastAsia="en-US"/>
        </w:rPr>
        <w:t xml:space="preserve"> </w:t>
      </w:r>
      <w:r w:rsidR="008B74D3" w:rsidRPr="008B74D3">
        <w:rPr>
          <w:sz w:val="24"/>
          <w:lang w:val="x-none" w:eastAsia="en-US"/>
        </w:rPr>
        <w:t xml:space="preserve">следующих </w:t>
      </w:r>
      <w:r w:rsidR="008B74D3" w:rsidRPr="008B74D3">
        <w:rPr>
          <w:sz w:val="24"/>
          <w:lang w:eastAsia="en-US"/>
        </w:rPr>
        <w:t xml:space="preserve">исходных </w:t>
      </w:r>
      <w:r w:rsidR="008B74D3" w:rsidRPr="008B74D3">
        <w:rPr>
          <w:sz w:val="24"/>
          <w:lang w:val="x-none" w:eastAsia="en-US"/>
        </w:rPr>
        <w:t>факторов:</w:t>
      </w:r>
    </w:p>
    <w:p w:rsidR="008B74D3" w:rsidRPr="008B74D3" w:rsidRDefault="008B74D3" w:rsidP="00066425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объем добычи нефти;</w:t>
      </w:r>
    </w:p>
    <w:p w:rsidR="008B74D3" w:rsidRPr="008B74D3" w:rsidRDefault="008B74D3" w:rsidP="00066425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цены реализации продукции;</w:t>
      </w:r>
    </w:p>
    <w:p w:rsidR="008B74D3" w:rsidRPr="008B74D3" w:rsidRDefault="008B74D3" w:rsidP="00066425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 xml:space="preserve">капитальные вложения; </w:t>
      </w:r>
    </w:p>
    <w:p w:rsidR="008B74D3" w:rsidRPr="008B74D3" w:rsidRDefault="008B74D3" w:rsidP="00066425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эксплуатационные затраты;</w:t>
      </w:r>
    </w:p>
    <w:p w:rsidR="00F1122E" w:rsidRDefault="008B74D3" w:rsidP="00066425">
      <w:pPr>
        <w:spacing w:line="360" w:lineRule="auto"/>
        <w:ind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 Проведенные расчеты свидетельствуют, что проект является устойчивым к изменению капитальных вложений</w:t>
      </w:r>
      <w:r w:rsidR="00F1122E">
        <w:rPr>
          <w:sz w:val="24"/>
          <w:lang w:eastAsia="en-US"/>
        </w:rPr>
        <w:t xml:space="preserve"> и</w:t>
      </w:r>
      <w:r w:rsidRPr="008B74D3">
        <w:rPr>
          <w:sz w:val="24"/>
          <w:lang w:eastAsia="en-US"/>
        </w:rPr>
        <w:t xml:space="preserve"> эксплуатационных затрат в пределах увеличения их стоимости на 20%, проект сохраняет экономическую эффективность. Увеличение объема добычи нефти и цены на нефть делает проект еще более эффективным, при снижении указанных показателей на </w:t>
      </w:r>
      <w:r w:rsidR="00F1122E">
        <w:rPr>
          <w:sz w:val="24"/>
          <w:lang w:val="kk-KZ" w:eastAsia="en-US"/>
        </w:rPr>
        <w:t>1</w:t>
      </w:r>
      <w:r w:rsidRPr="008B74D3">
        <w:rPr>
          <w:sz w:val="24"/>
          <w:lang w:val="kk-KZ" w:eastAsia="en-US"/>
        </w:rPr>
        <w:t>0</w:t>
      </w:r>
      <w:r w:rsidRPr="008B74D3">
        <w:rPr>
          <w:sz w:val="24"/>
          <w:lang w:eastAsia="en-US"/>
        </w:rPr>
        <w:t xml:space="preserve">% и более, </w:t>
      </w:r>
      <w:r w:rsidR="00F1122E">
        <w:rPr>
          <w:sz w:val="24"/>
          <w:lang w:eastAsia="en-US"/>
        </w:rPr>
        <w:t>эффективность варианта снижается, но остается положительной</w:t>
      </w:r>
      <w:r w:rsidRPr="008B74D3">
        <w:rPr>
          <w:sz w:val="24"/>
          <w:lang w:eastAsia="en-US"/>
        </w:rPr>
        <w:t xml:space="preserve">. </w:t>
      </w:r>
      <w:r w:rsidR="00F1122E">
        <w:rPr>
          <w:sz w:val="24"/>
          <w:lang w:eastAsia="en-US"/>
        </w:rPr>
        <w:t>Таким образом, как показывают расчеты рекомендуемый вариант признается устойчивым к изменению основных факторов.</w:t>
      </w:r>
    </w:p>
    <w:p w:rsidR="008B74D3" w:rsidRPr="008B74D3" w:rsidRDefault="008B74D3" w:rsidP="00066425">
      <w:pPr>
        <w:spacing w:line="360" w:lineRule="auto"/>
        <w:ind w:firstLine="709"/>
        <w:contextualSpacing/>
        <w:jc w:val="both"/>
        <w:rPr>
          <w:sz w:val="24"/>
        </w:rPr>
      </w:pPr>
      <w:r w:rsidRPr="008B74D3">
        <w:rPr>
          <w:sz w:val="24"/>
        </w:rPr>
        <w:t>Для наглядной демонстрации влияния переменных показателей на критерии экономической эффективности проведен анализ чувствительности проекта, представленный на рисунк</w:t>
      </w:r>
      <w:r w:rsidR="00F1122E">
        <w:rPr>
          <w:sz w:val="24"/>
        </w:rPr>
        <w:t>е</w:t>
      </w:r>
      <w:r w:rsidRPr="008B74D3">
        <w:rPr>
          <w:sz w:val="24"/>
        </w:rPr>
        <w:t xml:space="preserve"> </w:t>
      </w:r>
      <w:r w:rsidR="00F1122E">
        <w:rPr>
          <w:sz w:val="24"/>
        </w:rPr>
        <w:t>5.1.1</w:t>
      </w:r>
      <w:r w:rsidR="000315EC">
        <w:rPr>
          <w:sz w:val="24"/>
        </w:rPr>
        <w:t>-5.1.2.</w:t>
      </w:r>
    </w:p>
    <w:p w:rsidR="008B74D3" w:rsidRDefault="00095AC4" w:rsidP="008B74D3">
      <w:pPr>
        <w:pStyle w:val="af"/>
      </w:pPr>
      <w:r w:rsidRPr="00095AC4">
        <w:rPr>
          <w:noProof/>
          <w:highlight w:val="yellow"/>
        </w:rPr>
        <w:drawing>
          <wp:inline distT="0" distB="0" distL="0" distR="0" wp14:anchorId="308589CC" wp14:editId="51976ECB">
            <wp:extent cx="5940425" cy="3000375"/>
            <wp:effectExtent l="0" t="0" r="317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B74D3" w:rsidRDefault="008B74D3" w:rsidP="00066425">
      <w:pPr>
        <w:pStyle w:val="af"/>
        <w:spacing w:before="0" w:after="0"/>
        <w:jc w:val="center"/>
        <w:rPr>
          <w:rFonts w:eastAsiaTheme="minorHAnsi"/>
        </w:rPr>
      </w:pPr>
      <w:r w:rsidRPr="00DB0DBE">
        <w:t>Рисунок 5.1.</w:t>
      </w:r>
      <w:r w:rsidRPr="00DB0DBE">
        <w:rPr>
          <w:noProof/>
        </w:rPr>
        <w:t>1</w:t>
      </w:r>
      <w:r w:rsidRPr="00DB0DBE">
        <w:t xml:space="preserve"> </w:t>
      </w:r>
      <w:r w:rsidRPr="00DB0DBE">
        <w:rPr>
          <w:rFonts w:eastAsiaTheme="minorHAnsi"/>
        </w:rPr>
        <w:t>- Чувствительность проекта к изменению NPV на факторном анализе «Паук»</w:t>
      </w:r>
    </w:p>
    <w:p w:rsidR="000315EC" w:rsidRDefault="000315EC" w:rsidP="000315EC">
      <w:pPr>
        <w:rPr>
          <w:rFonts w:eastAsiaTheme="minorHAnsi"/>
        </w:rPr>
      </w:pPr>
      <w:r>
        <w:rPr>
          <w:noProof/>
        </w:rPr>
        <w:lastRenderedPageBreak/>
        <w:drawing>
          <wp:inline distT="0" distB="0" distL="0" distR="0" wp14:anchorId="16DE8124" wp14:editId="1D9EC76F">
            <wp:extent cx="5940425" cy="3154045"/>
            <wp:effectExtent l="0" t="0" r="3175" b="825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315EC" w:rsidRPr="002651C3" w:rsidRDefault="000315EC" w:rsidP="000315EC">
      <w:pPr>
        <w:pStyle w:val="af"/>
        <w:rPr>
          <w:rFonts w:eastAsiaTheme="minorHAnsi"/>
        </w:rPr>
      </w:pPr>
      <w:r w:rsidRPr="002651C3">
        <w:t xml:space="preserve">Рисунок </w:t>
      </w:r>
      <w:r w:rsidRPr="008B74D3">
        <w:t>5</w:t>
      </w:r>
      <w:r>
        <w:t>.</w:t>
      </w:r>
      <w:r w:rsidRPr="008B74D3">
        <w:t>1</w:t>
      </w:r>
      <w:r w:rsidRPr="002651C3">
        <w:t>.</w:t>
      </w:r>
      <w:r>
        <w:rPr>
          <w:noProof/>
        </w:rPr>
        <w:t>2</w:t>
      </w:r>
      <w:r w:rsidRPr="002651C3">
        <w:t xml:space="preserve"> </w:t>
      </w:r>
      <w:r w:rsidRPr="002651C3">
        <w:rPr>
          <w:rFonts w:eastAsiaTheme="minorHAnsi"/>
        </w:rPr>
        <w:t>- Чувствительность проекта к изменению NPV на факторном анализе «</w:t>
      </w:r>
      <w:r>
        <w:rPr>
          <w:rFonts w:eastAsiaTheme="minorHAnsi"/>
        </w:rPr>
        <w:t>Торнадо</w:t>
      </w:r>
      <w:r w:rsidRPr="002651C3">
        <w:rPr>
          <w:rFonts w:eastAsiaTheme="minorHAnsi"/>
        </w:rPr>
        <w:t xml:space="preserve">» </w:t>
      </w:r>
    </w:p>
    <w:p w:rsidR="000315EC" w:rsidRPr="000315EC" w:rsidRDefault="000315EC" w:rsidP="000315EC">
      <w:pPr>
        <w:rPr>
          <w:rFonts w:eastAsiaTheme="minorHAnsi"/>
        </w:rPr>
      </w:pPr>
    </w:p>
    <w:p w:rsidR="008B74D3" w:rsidRPr="002651C3" w:rsidRDefault="008B74D3" w:rsidP="008B74D3">
      <w:pPr>
        <w:spacing w:line="360" w:lineRule="auto"/>
        <w:contextualSpacing/>
        <w:jc w:val="both"/>
      </w:pPr>
    </w:p>
    <w:sectPr w:rsidR="008B74D3" w:rsidRPr="002651C3" w:rsidSect="000B3E73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1DE" w:rsidRDefault="000F51DE" w:rsidP="00DB72F6">
      <w:r>
        <w:separator/>
      </w:r>
    </w:p>
  </w:endnote>
  <w:endnote w:type="continuationSeparator" w:id="0">
    <w:p w:rsidR="000F51DE" w:rsidRDefault="000F51DE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59A" w:rsidRPr="008F6668" w:rsidRDefault="00715335" w:rsidP="0095330C">
    <w:pPr>
      <w:pStyle w:val="a9"/>
      <w:pBdr>
        <w:top w:val="single" w:sz="4" w:space="1" w:color="auto"/>
      </w:pBdr>
      <w:ind w:right="340"/>
      <w:jc w:val="both"/>
    </w:pPr>
    <w:r>
      <w:rPr>
        <w:sz w:val="14"/>
        <w:szCs w:val="14"/>
      </w:rPr>
      <w:t xml:space="preserve">ДОПОЛНЕНИЕ К </w:t>
    </w:r>
    <w:r w:rsidR="000C5199">
      <w:rPr>
        <w:sz w:val="14"/>
        <w:szCs w:val="14"/>
      </w:rPr>
      <w:t>ПРОЕКТ</w:t>
    </w:r>
    <w:r>
      <w:rPr>
        <w:sz w:val="14"/>
        <w:szCs w:val="14"/>
      </w:rPr>
      <w:t>У</w:t>
    </w:r>
    <w:r w:rsidR="000C5199">
      <w:rPr>
        <w:sz w:val="14"/>
        <w:szCs w:val="14"/>
      </w:rPr>
      <w:t xml:space="preserve"> РАЗРАБОТКИ МЕСТОРОЖДЕНИЯ </w:t>
    </w:r>
    <w:r w:rsidR="00C1354B">
      <w:rPr>
        <w:sz w:val="14"/>
        <w:szCs w:val="14"/>
      </w:rPr>
      <w:t>БОТАХАН</w:t>
    </w:r>
    <w:r w:rsidR="0095330C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1DE" w:rsidRDefault="000F51DE" w:rsidP="00DB72F6">
      <w:r>
        <w:separator/>
      </w:r>
    </w:p>
  </w:footnote>
  <w:footnote w:type="continuationSeparator" w:id="0">
    <w:p w:rsidR="000F51DE" w:rsidRDefault="000F51DE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59A" w:rsidRPr="00403900" w:rsidRDefault="008C759A" w:rsidP="00B3579C">
    <w:pPr>
      <w:framePr w:w="361" w:wrap="around" w:vAnchor="text" w:hAnchor="page" w:x="10816" w:y="-17"/>
      <w:tabs>
        <w:tab w:val="center" w:pos="4677"/>
        <w:tab w:val="right" w:pos="9355"/>
      </w:tabs>
      <w:jc w:val="left"/>
      <w:rPr>
        <w:szCs w:val="20"/>
        <w:lang w:val="x-none"/>
      </w:rPr>
    </w:pPr>
    <w:r w:rsidRPr="00403900">
      <w:rPr>
        <w:szCs w:val="20"/>
        <w:lang w:val="x-none"/>
      </w:rPr>
      <w:fldChar w:fldCharType="begin"/>
    </w:r>
    <w:r w:rsidRPr="00403900">
      <w:rPr>
        <w:szCs w:val="20"/>
        <w:lang w:val="x-none"/>
      </w:rPr>
      <w:instrText xml:space="preserve">PAGE  </w:instrText>
    </w:r>
    <w:r w:rsidRPr="00403900">
      <w:rPr>
        <w:szCs w:val="20"/>
        <w:lang w:val="x-none"/>
      </w:rPr>
      <w:fldChar w:fldCharType="separate"/>
    </w:r>
    <w:r w:rsidR="00F912C9">
      <w:rPr>
        <w:noProof/>
        <w:szCs w:val="20"/>
        <w:lang w:val="x-none"/>
      </w:rPr>
      <w:t>141</w:t>
    </w:r>
    <w:r w:rsidRPr="00403900">
      <w:rPr>
        <w:szCs w:val="20"/>
        <w:lang w:val="x-none"/>
      </w:rPr>
      <w:fldChar w:fldCharType="end"/>
    </w:r>
  </w:p>
  <w:sdt>
    <w:sdtPr>
      <w:rPr>
        <w:sz w:val="14"/>
        <w:szCs w:val="14"/>
      </w:rPr>
      <w:id w:val="-1326131926"/>
      <w:docPartObj>
        <w:docPartGallery w:val="Page Numbers (Top of Page)"/>
        <w:docPartUnique/>
      </w:docPartObj>
    </w:sdtPr>
    <w:sdtEndPr/>
    <w:sdtContent>
      <w:p w:rsidR="008C759A" w:rsidRPr="006F782B" w:rsidRDefault="008C759A" w:rsidP="006F782B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 w:rsidRPr="005F0982">
          <w:rPr>
            <w:color w:val="000000"/>
            <w:sz w:val="14"/>
            <w:szCs w:val="14"/>
          </w:rPr>
          <w:t>ТЕХНИКО-ЭКОНОМИЧЕСКИЙ АНАЛИЗ ПРОЕКТНЫХ РЕШЕНИЙ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E4232"/>
    <w:multiLevelType w:val="hybridMultilevel"/>
    <w:tmpl w:val="83D034CA"/>
    <w:lvl w:ilvl="0" w:tplc="0419000F">
      <w:start w:val="1"/>
      <w:numFmt w:val="decimal"/>
      <w:lvlText w:val="%1."/>
      <w:lvlJc w:val="left"/>
      <w:pPr>
        <w:ind w:left="1097" w:hanging="360"/>
      </w:p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5886585E"/>
    <w:multiLevelType w:val="hybridMultilevel"/>
    <w:tmpl w:val="BE72B65C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 w15:restartNumberingAfterBreak="0">
    <w:nsid w:val="76A43609"/>
    <w:multiLevelType w:val="multilevel"/>
    <w:tmpl w:val="642A19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FC"/>
    <w:rsid w:val="00001AA9"/>
    <w:rsid w:val="000051AD"/>
    <w:rsid w:val="00010D50"/>
    <w:rsid w:val="00023F5A"/>
    <w:rsid w:val="00024219"/>
    <w:rsid w:val="00025A6B"/>
    <w:rsid w:val="000315EC"/>
    <w:rsid w:val="000359ED"/>
    <w:rsid w:val="000407C6"/>
    <w:rsid w:val="00046C2C"/>
    <w:rsid w:val="000478F6"/>
    <w:rsid w:val="0005351B"/>
    <w:rsid w:val="0006022F"/>
    <w:rsid w:val="00062E76"/>
    <w:rsid w:val="00066425"/>
    <w:rsid w:val="00070242"/>
    <w:rsid w:val="00071ED1"/>
    <w:rsid w:val="00072347"/>
    <w:rsid w:val="00075376"/>
    <w:rsid w:val="00080C4D"/>
    <w:rsid w:val="000818DD"/>
    <w:rsid w:val="0008778A"/>
    <w:rsid w:val="00090A81"/>
    <w:rsid w:val="000950C6"/>
    <w:rsid w:val="00095AC4"/>
    <w:rsid w:val="000B3E73"/>
    <w:rsid w:val="000B69F2"/>
    <w:rsid w:val="000C1E6B"/>
    <w:rsid w:val="000C5199"/>
    <w:rsid w:val="000C554A"/>
    <w:rsid w:val="000D44DF"/>
    <w:rsid w:val="000D758A"/>
    <w:rsid w:val="000E2B36"/>
    <w:rsid w:val="000E33ED"/>
    <w:rsid w:val="000E35FD"/>
    <w:rsid w:val="000E40F2"/>
    <w:rsid w:val="000F4B37"/>
    <w:rsid w:val="000F51DE"/>
    <w:rsid w:val="000F6085"/>
    <w:rsid w:val="00105002"/>
    <w:rsid w:val="00107652"/>
    <w:rsid w:val="00115BE8"/>
    <w:rsid w:val="001247DE"/>
    <w:rsid w:val="00133B7C"/>
    <w:rsid w:val="00134596"/>
    <w:rsid w:val="00136AD8"/>
    <w:rsid w:val="001574C6"/>
    <w:rsid w:val="001618B6"/>
    <w:rsid w:val="001631E6"/>
    <w:rsid w:val="00164C0D"/>
    <w:rsid w:val="00165844"/>
    <w:rsid w:val="001757CA"/>
    <w:rsid w:val="00176C95"/>
    <w:rsid w:val="00183A20"/>
    <w:rsid w:val="00195D13"/>
    <w:rsid w:val="001B06CB"/>
    <w:rsid w:val="001C0294"/>
    <w:rsid w:val="001C3843"/>
    <w:rsid w:val="001D386C"/>
    <w:rsid w:val="001E32FA"/>
    <w:rsid w:val="001E7C71"/>
    <w:rsid w:val="001F02D9"/>
    <w:rsid w:val="001F7B66"/>
    <w:rsid w:val="00203C26"/>
    <w:rsid w:val="0020548C"/>
    <w:rsid w:val="00206DE9"/>
    <w:rsid w:val="0020774A"/>
    <w:rsid w:val="00210D08"/>
    <w:rsid w:val="00213381"/>
    <w:rsid w:val="00215F6F"/>
    <w:rsid w:val="0021769A"/>
    <w:rsid w:val="00222874"/>
    <w:rsid w:val="00232F6C"/>
    <w:rsid w:val="00244AE3"/>
    <w:rsid w:val="0024573E"/>
    <w:rsid w:val="00266B48"/>
    <w:rsid w:val="00282C4D"/>
    <w:rsid w:val="0028383F"/>
    <w:rsid w:val="0028450B"/>
    <w:rsid w:val="002B2C34"/>
    <w:rsid w:val="002B3A46"/>
    <w:rsid w:val="002B68AD"/>
    <w:rsid w:val="002C145D"/>
    <w:rsid w:val="002C7FB4"/>
    <w:rsid w:val="002E359B"/>
    <w:rsid w:val="002F5F01"/>
    <w:rsid w:val="00322FD7"/>
    <w:rsid w:val="00331BFD"/>
    <w:rsid w:val="00336687"/>
    <w:rsid w:val="0033695D"/>
    <w:rsid w:val="00351340"/>
    <w:rsid w:val="00354E1A"/>
    <w:rsid w:val="00355607"/>
    <w:rsid w:val="003572CD"/>
    <w:rsid w:val="00357BFE"/>
    <w:rsid w:val="00374B7D"/>
    <w:rsid w:val="0039092D"/>
    <w:rsid w:val="00391A12"/>
    <w:rsid w:val="003929DD"/>
    <w:rsid w:val="003B1631"/>
    <w:rsid w:val="003B3772"/>
    <w:rsid w:val="003B7C71"/>
    <w:rsid w:val="003C052D"/>
    <w:rsid w:val="003D06D6"/>
    <w:rsid w:val="003D33F1"/>
    <w:rsid w:val="003E6E88"/>
    <w:rsid w:val="003F1683"/>
    <w:rsid w:val="003F69BA"/>
    <w:rsid w:val="003F7111"/>
    <w:rsid w:val="00403900"/>
    <w:rsid w:val="0040470C"/>
    <w:rsid w:val="0040778F"/>
    <w:rsid w:val="004164A3"/>
    <w:rsid w:val="004213F7"/>
    <w:rsid w:val="004221CB"/>
    <w:rsid w:val="00425288"/>
    <w:rsid w:val="004262CF"/>
    <w:rsid w:val="004308BB"/>
    <w:rsid w:val="00435BAC"/>
    <w:rsid w:val="00435D47"/>
    <w:rsid w:val="004363F8"/>
    <w:rsid w:val="00436D79"/>
    <w:rsid w:val="00440061"/>
    <w:rsid w:val="0044421B"/>
    <w:rsid w:val="004469F5"/>
    <w:rsid w:val="00451EE6"/>
    <w:rsid w:val="00455EB4"/>
    <w:rsid w:val="0045760A"/>
    <w:rsid w:val="00462AFA"/>
    <w:rsid w:val="00464560"/>
    <w:rsid w:val="00467178"/>
    <w:rsid w:val="00471B9C"/>
    <w:rsid w:val="004801DA"/>
    <w:rsid w:val="0048200C"/>
    <w:rsid w:val="00482936"/>
    <w:rsid w:val="00485110"/>
    <w:rsid w:val="004869FE"/>
    <w:rsid w:val="004968AE"/>
    <w:rsid w:val="004B52BD"/>
    <w:rsid w:val="004C6954"/>
    <w:rsid w:val="004E6A16"/>
    <w:rsid w:val="00500A3D"/>
    <w:rsid w:val="005020CF"/>
    <w:rsid w:val="00503695"/>
    <w:rsid w:val="005073D0"/>
    <w:rsid w:val="00512BC7"/>
    <w:rsid w:val="00514D9E"/>
    <w:rsid w:val="0052760C"/>
    <w:rsid w:val="00550CF9"/>
    <w:rsid w:val="00556B41"/>
    <w:rsid w:val="00556FFA"/>
    <w:rsid w:val="00583597"/>
    <w:rsid w:val="0059260B"/>
    <w:rsid w:val="005B23C8"/>
    <w:rsid w:val="005E1B0D"/>
    <w:rsid w:val="005E4AB7"/>
    <w:rsid w:val="005F0982"/>
    <w:rsid w:val="005F6758"/>
    <w:rsid w:val="00607ECB"/>
    <w:rsid w:val="00612B69"/>
    <w:rsid w:val="00620220"/>
    <w:rsid w:val="00623C95"/>
    <w:rsid w:val="0062726F"/>
    <w:rsid w:val="00631E7C"/>
    <w:rsid w:val="006566B3"/>
    <w:rsid w:val="00656A0C"/>
    <w:rsid w:val="0066365D"/>
    <w:rsid w:val="00664D71"/>
    <w:rsid w:val="00665463"/>
    <w:rsid w:val="006811ED"/>
    <w:rsid w:val="00681D66"/>
    <w:rsid w:val="0068303C"/>
    <w:rsid w:val="0068534D"/>
    <w:rsid w:val="00686319"/>
    <w:rsid w:val="006877AC"/>
    <w:rsid w:val="0069755F"/>
    <w:rsid w:val="006C1326"/>
    <w:rsid w:val="006C1977"/>
    <w:rsid w:val="006C43BA"/>
    <w:rsid w:val="006C526D"/>
    <w:rsid w:val="006C5CDA"/>
    <w:rsid w:val="006D3D6C"/>
    <w:rsid w:val="006E04CB"/>
    <w:rsid w:val="006E47DD"/>
    <w:rsid w:val="006E4DDD"/>
    <w:rsid w:val="006F6FE9"/>
    <w:rsid w:val="006F782B"/>
    <w:rsid w:val="00701BBB"/>
    <w:rsid w:val="00704619"/>
    <w:rsid w:val="00707BAB"/>
    <w:rsid w:val="00707CCB"/>
    <w:rsid w:val="00715335"/>
    <w:rsid w:val="00722CB9"/>
    <w:rsid w:val="00722FCF"/>
    <w:rsid w:val="00735AFE"/>
    <w:rsid w:val="00741139"/>
    <w:rsid w:val="00742F6E"/>
    <w:rsid w:val="007441E2"/>
    <w:rsid w:val="00746FD3"/>
    <w:rsid w:val="00747F77"/>
    <w:rsid w:val="00760FB2"/>
    <w:rsid w:val="00765496"/>
    <w:rsid w:val="00766F73"/>
    <w:rsid w:val="00771C5E"/>
    <w:rsid w:val="0077375D"/>
    <w:rsid w:val="00773820"/>
    <w:rsid w:val="00776B34"/>
    <w:rsid w:val="007826D6"/>
    <w:rsid w:val="00782EB3"/>
    <w:rsid w:val="00793FD9"/>
    <w:rsid w:val="00795F03"/>
    <w:rsid w:val="007C3ED2"/>
    <w:rsid w:val="007D27CF"/>
    <w:rsid w:val="007E0009"/>
    <w:rsid w:val="007F5A53"/>
    <w:rsid w:val="007F730C"/>
    <w:rsid w:val="007F7DB5"/>
    <w:rsid w:val="008016CA"/>
    <w:rsid w:val="00802838"/>
    <w:rsid w:val="00802D83"/>
    <w:rsid w:val="00812285"/>
    <w:rsid w:val="00813F8E"/>
    <w:rsid w:val="00825F34"/>
    <w:rsid w:val="00830953"/>
    <w:rsid w:val="00837C55"/>
    <w:rsid w:val="00841685"/>
    <w:rsid w:val="00844D99"/>
    <w:rsid w:val="00853CFC"/>
    <w:rsid w:val="00854A40"/>
    <w:rsid w:val="008554A3"/>
    <w:rsid w:val="00856C6D"/>
    <w:rsid w:val="0086188D"/>
    <w:rsid w:val="00870E1C"/>
    <w:rsid w:val="008710EE"/>
    <w:rsid w:val="008752E5"/>
    <w:rsid w:val="0088728A"/>
    <w:rsid w:val="00892179"/>
    <w:rsid w:val="008932DB"/>
    <w:rsid w:val="0089461E"/>
    <w:rsid w:val="008A5700"/>
    <w:rsid w:val="008A6C65"/>
    <w:rsid w:val="008B681A"/>
    <w:rsid w:val="008B74D3"/>
    <w:rsid w:val="008C0D4B"/>
    <w:rsid w:val="008C759A"/>
    <w:rsid w:val="008D35B0"/>
    <w:rsid w:val="008E3600"/>
    <w:rsid w:val="008F23E7"/>
    <w:rsid w:val="008F6668"/>
    <w:rsid w:val="0090211F"/>
    <w:rsid w:val="009101D3"/>
    <w:rsid w:val="00911117"/>
    <w:rsid w:val="00920B27"/>
    <w:rsid w:val="009254AF"/>
    <w:rsid w:val="00930180"/>
    <w:rsid w:val="00936630"/>
    <w:rsid w:val="009370E3"/>
    <w:rsid w:val="0094430B"/>
    <w:rsid w:val="0095330C"/>
    <w:rsid w:val="00954841"/>
    <w:rsid w:val="009579E0"/>
    <w:rsid w:val="009656D7"/>
    <w:rsid w:val="00966AEA"/>
    <w:rsid w:val="009847DB"/>
    <w:rsid w:val="0098631A"/>
    <w:rsid w:val="0099054D"/>
    <w:rsid w:val="00991073"/>
    <w:rsid w:val="00993E48"/>
    <w:rsid w:val="00994AD1"/>
    <w:rsid w:val="009A377F"/>
    <w:rsid w:val="009A7E30"/>
    <w:rsid w:val="009B029D"/>
    <w:rsid w:val="009C1D83"/>
    <w:rsid w:val="009D1D20"/>
    <w:rsid w:val="009D5B9C"/>
    <w:rsid w:val="009D6CE5"/>
    <w:rsid w:val="009E1836"/>
    <w:rsid w:val="009E6F1E"/>
    <w:rsid w:val="009F4184"/>
    <w:rsid w:val="009F5588"/>
    <w:rsid w:val="009F7957"/>
    <w:rsid w:val="009F7EEB"/>
    <w:rsid w:val="00A0057F"/>
    <w:rsid w:val="00A03A68"/>
    <w:rsid w:val="00A1637D"/>
    <w:rsid w:val="00A2500F"/>
    <w:rsid w:val="00A25AE7"/>
    <w:rsid w:val="00A41E28"/>
    <w:rsid w:val="00A50E1F"/>
    <w:rsid w:val="00A53643"/>
    <w:rsid w:val="00A6152B"/>
    <w:rsid w:val="00A65BE5"/>
    <w:rsid w:val="00A67EFA"/>
    <w:rsid w:val="00A74045"/>
    <w:rsid w:val="00A74357"/>
    <w:rsid w:val="00A7559B"/>
    <w:rsid w:val="00A835CF"/>
    <w:rsid w:val="00AC1590"/>
    <w:rsid w:val="00AD1B3E"/>
    <w:rsid w:val="00AE49C5"/>
    <w:rsid w:val="00AE4F63"/>
    <w:rsid w:val="00B05F57"/>
    <w:rsid w:val="00B06A31"/>
    <w:rsid w:val="00B078F8"/>
    <w:rsid w:val="00B25ED1"/>
    <w:rsid w:val="00B30D67"/>
    <w:rsid w:val="00B3579C"/>
    <w:rsid w:val="00B37D2D"/>
    <w:rsid w:val="00B42BB8"/>
    <w:rsid w:val="00B44EA2"/>
    <w:rsid w:val="00B47F17"/>
    <w:rsid w:val="00B54845"/>
    <w:rsid w:val="00B704BB"/>
    <w:rsid w:val="00B70571"/>
    <w:rsid w:val="00B82BDD"/>
    <w:rsid w:val="00B90F6A"/>
    <w:rsid w:val="00B9111C"/>
    <w:rsid w:val="00B96461"/>
    <w:rsid w:val="00B97FF7"/>
    <w:rsid w:val="00BB0632"/>
    <w:rsid w:val="00BB5860"/>
    <w:rsid w:val="00BC524A"/>
    <w:rsid w:val="00BC56F1"/>
    <w:rsid w:val="00BD0ED5"/>
    <w:rsid w:val="00BD1476"/>
    <w:rsid w:val="00BD554E"/>
    <w:rsid w:val="00BE0FC0"/>
    <w:rsid w:val="00BE7150"/>
    <w:rsid w:val="00BF31CF"/>
    <w:rsid w:val="00BF3C7A"/>
    <w:rsid w:val="00C079DB"/>
    <w:rsid w:val="00C1354B"/>
    <w:rsid w:val="00C14B9B"/>
    <w:rsid w:val="00C16093"/>
    <w:rsid w:val="00C160B5"/>
    <w:rsid w:val="00C20ABD"/>
    <w:rsid w:val="00C2573A"/>
    <w:rsid w:val="00C26FBE"/>
    <w:rsid w:val="00C46C4D"/>
    <w:rsid w:val="00C514E8"/>
    <w:rsid w:val="00C5190F"/>
    <w:rsid w:val="00C55134"/>
    <w:rsid w:val="00C55588"/>
    <w:rsid w:val="00C61145"/>
    <w:rsid w:val="00C661DB"/>
    <w:rsid w:val="00C91A6B"/>
    <w:rsid w:val="00C94899"/>
    <w:rsid w:val="00CA0D54"/>
    <w:rsid w:val="00CA1B1E"/>
    <w:rsid w:val="00CB38E3"/>
    <w:rsid w:val="00CB4CB9"/>
    <w:rsid w:val="00CC0A35"/>
    <w:rsid w:val="00CC1DAD"/>
    <w:rsid w:val="00CD6C64"/>
    <w:rsid w:val="00CE1248"/>
    <w:rsid w:val="00CE4072"/>
    <w:rsid w:val="00CE710C"/>
    <w:rsid w:val="00D021A0"/>
    <w:rsid w:val="00D06EEE"/>
    <w:rsid w:val="00D07A56"/>
    <w:rsid w:val="00D128A9"/>
    <w:rsid w:val="00D20F93"/>
    <w:rsid w:val="00D26259"/>
    <w:rsid w:val="00D2748B"/>
    <w:rsid w:val="00D40F76"/>
    <w:rsid w:val="00D41597"/>
    <w:rsid w:val="00D434AC"/>
    <w:rsid w:val="00D45D8E"/>
    <w:rsid w:val="00D46FB8"/>
    <w:rsid w:val="00D576D5"/>
    <w:rsid w:val="00D613F5"/>
    <w:rsid w:val="00D631BF"/>
    <w:rsid w:val="00D663F1"/>
    <w:rsid w:val="00D70453"/>
    <w:rsid w:val="00D7054F"/>
    <w:rsid w:val="00D76EA2"/>
    <w:rsid w:val="00D80A43"/>
    <w:rsid w:val="00D80A5A"/>
    <w:rsid w:val="00D91AEF"/>
    <w:rsid w:val="00D97D87"/>
    <w:rsid w:val="00DA22D3"/>
    <w:rsid w:val="00DA3AEE"/>
    <w:rsid w:val="00DA3C13"/>
    <w:rsid w:val="00DA7B5E"/>
    <w:rsid w:val="00DB0DBE"/>
    <w:rsid w:val="00DB16AC"/>
    <w:rsid w:val="00DB3071"/>
    <w:rsid w:val="00DB5C00"/>
    <w:rsid w:val="00DB63CB"/>
    <w:rsid w:val="00DB72F6"/>
    <w:rsid w:val="00DC61BF"/>
    <w:rsid w:val="00DD2EAC"/>
    <w:rsid w:val="00DD5339"/>
    <w:rsid w:val="00DE5052"/>
    <w:rsid w:val="00DF2A21"/>
    <w:rsid w:val="00DF403B"/>
    <w:rsid w:val="00E06012"/>
    <w:rsid w:val="00E12752"/>
    <w:rsid w:val="00E17717"/>
    <w:rsid w:val="00E228EC"/>
    <w:rsid w:val="00E30D6E"/>
    <w:rsid w:val="00E30EF2"/>
    <w:rsid w:val="00E330E8"/>
    <w:rsid w:val="00E353D3"/>
    <w:rsid w:val="00E35CA9"/>
    <w:rsid w:val="00E47543"/>
    <w:rsid w:val="00E50C3A"/>
    <w:rsid w:val="00E51FC9"/>
    <w:rsid w:val="00E55021"/>
    <w:rsid w:val="00E61828"/>
    <w:rsid w:val="00E62C19"/>
    <w:rsid w:val="00E7626A"/>
    <w:rsid w:val="00EA00BF"/>
    <w:rsid w:val="00EA24D3"/>
    <w:rsid w:val="00EA59CF"/>
    <w:rsid w:val="00EB7C7A"/>
    <w:rsid w:val="00EC12B5"/>
    <w:rsid w:val="00EC69F3"/>
    <w:rsid w:val="00ED06BA"/>
    <w:rsid w:val="00ED0B14"/>
    <w:rsid w:val="00EE36B1"/>
    <w:rsid w:val="00EE41DB"/>
    <w:rsid w:val="00EF5616"/>
    <w:rsid w:val="00EF79E4"/>
    <w:rsid w:val="00F006C7"/>
    <w:rsid w:val="00F03707"/>
    <w:rsid w:val="00F1122E"/>
    <w:rsid w:val="00F12473"/>
    <w:rsid w:val="00F21E05"/>
    <w:rsid w:val="00F310E1"/>
    <w:rsid w:val="00F31628"/>
    <w:rsid w:val="00F51926"/>
    <w:rsid w:val="00F53B02"/>
    <w:rsid w:val="00F654D1"/>
    <w:rsid w:val="00F65F32"/>
    <w:rsid w:val="00F745A4"/>
    <w:rsid w:val="00F77019"/>
    <w:rsid w:val="00F82463"/>
    <w:rsid w:val="00F912C9"/>
    <w:rsid w:val="00F94186"/>
    <w:rsid w:val="00FA2AB1"/>
    <w:rsid w:val="00FC01B1"/>
    <w:rsid w:val="00FC1F9A"/>
    <w:rsid w:val="00FC77E2"/>
    <w:rsid w:val="00FD13F6"/>
    <w:rsid w:val="00FD4C56"/>
    <w:rsid w:val="00FF3A2C"/>
    <w:rsid w:val="00FF3F20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FD0AC5"/>
  <w15:docId w15:val="{5C0F7A08-4DE7-4E78-B880-A9D636B1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basedOn w:val="a"/>
    <w:link w:val="a7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aliases w:val="Title Down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EOtipical">
    <w:name w:val="TEO_tipical"/>
    <w:basedOn w:val="a"/>
    <w:autoRedefine/>
    <w:qFormat/>
    <w:rsid w:val="00C079DB"/>
    <w:pPr>
      <w:spacing w:line="360" w:lineRule="auto"/>
      <w:ind w:firstLine="737"/>
      <w:jc w:val="both"/>
    </w:pPr>
    <w:rPr>
      <w:sz w:val="24"/>
    </w:rPr>
  </w:style>
  <w:style w:type="paragraph" w:customStyle="1" w:styleId="TEOrisunok">
    <w:name w:val="TEO_risunok"/>
    <w:basedOn w:val="TEOtipical"/>
    <w:next w:val="TEOtipical"/>
    <w:autoRedefine/>
    <w:rsid w:val="00556FFA"/>
    <w:pPr>
      <w:spacing w:after="120" w:line="240" w:lineRule="auto"/>
      <w:ind w:firstLine="0"/>
      <w:jc w:val="center"/>
    </w:pPr>
    <w:rPr>
      <w:b/>
      <w:bCs/>
      <w:color w:val="000000"/>
      <w:sz w:val="20"/>
      <w:szCs w:val="20"/>
    </w:rPr>
  </w:style>
  <w:style w:type="paragraph" w:customStyle="1" w:styleId="TEOtabledown">
    <w:name w:val="TEO_table_down"/>
    <w:basedOn w:val="a"/>
    <w:next w:val="a"/>
    <w:autoRedefine/>
    <w:rsid w:val="00704619"/>
    <w:pPr>
      <w:spacing w:after="120"/>
    </w:pPr>
    <w:rPr>
      <w:b/>
      <w:sz w:val="24"/>
    </w:rPr>
  </w:style>
  <w:style w:type="paragraph" w:customStyle="1" w:styleId="TEOtableup">
    <w:name w:val="TEO_table_up"/>
    <w:basedOn w:val="a"/>
    <w:next w:val="TEOtabledown"/>
    <w:autoRedefine/>
    <w:rsid w:val="00FC01B1"/>
    <w:pPr>
      <w:spacing w:line="360" w:lineRule="auto"/>
      <w:jc w:val="both"/>
    </w:pPr>
    <w:rPr>
      <w:rFonts w:eastAsia="Calibri"/>
      <w:b/>
      <w:snapToGrid w:val="0"/>
      <w:szCs w:val="20"/>
    </w:rPr>
  </w:style>
  <w:style w:type="paragraph" w:customStyle="1" w:styleId="TCrisunok">
    <w:name w:val="TC_risunok"/>
    <w:basedOn w:val="a"/>
    <w:autoRedefine/>
    <w:qFormat/>
    <w:rsid w:val="006566B3"/>
    <w:pPr>
      <w:widowControl w:val="0"/>
      <w:spacing w:before="120" w:after="120" w:line="360" w:lineRule="auto"/>
    </w:pPr>
    <w:rPr>
      <w:b/>
      <w:bCs/>
      <w:color w:val="000000"/>
      <w:szCs w:val="20"/>
    </w:rPr>
  </w:style>
  <w:style w:type="paragraph" w:customStyle="1" w:styleId="ad">
    <w:name w:val="Шарб_табл"/>
    <w:basedOn w:val="a"/>
    <w:link w:val="ae"/>
    <w:qFormat/>
    <w:rsid w:val="000950C6"/>
    <w:pPr>
      <w:jc w:val="left"/>
    </w:pPr>
    <w:rPr>
      <w:b/>
      <w:szCs w:val="20"/>
      <w:lang w:val="x-none" w:eastAsia="en-US"/>
    </w:rPr>
  </w:style>
  <w:style w:type="character" w:customStyle="1" w:styleId="ae">
    <w:name w:val="Шарб_табл Знак"/>
    <w:link w:val="ad"/>
    <w:rsid w:val="000950C6"/>
    <w:rPr>
      <w:rFonts w:ascii="Times New Roman" w:hAnsi="Times New Roman" w:cs="Times New Roman"/>
      <w:b/>
      <w:sz w:val="20"/>
      <w:szCs w:val="20"/>
      <w:lang w:val="x-none"/>
    </w:rPr>
  </w:style>
  <w:style w:type="paragraph" w:styleId="af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"/>
    <w:next w:val="a"/>
    <w:link w:val="af0"/>
    <w:qFormat/>
    <w:rsid w:val="008B74D3"/>
    <w:pPr>
      <w:spacing w:before="120" w:after="120"/>
      <w:jc w:val="left"/>
    </w:pPr>
    <w:rPr>
      <w:b/>
      <w:bCs/>
      <w:szCs w:val="20"/>
    </w:rPr>
  </w:style>
  <w:style w:type="character" w:customStyle="1" w:styleId="af0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0"/>
    <w:link w:val="af"/>
    <w:rsid w:val="008B74D3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1.01.2022\01_&#1069;&#1052;&#1043;\04_&#1041;&#1086;&#1090;&#1072;&#1093;&#1072;&#1085;+\&#1076;&#1083;&#1103;%20&#1050;&#1055;&#1055;\&#1050;&#1055;&#1055;_&#1089;%20&#1053;&#1057;&#1055;\&#1041;&#1086;&#1090;&#1072;&#1093;&#1072;&#1085;_09_&#1053;&#1057;&#1055;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1.01.2022\01_&#1069;&#1052;&#1043;\04_&#1041;&#1086;&#1090;&#1072;&#1093;&#1072;&#1085;\&#1041;&#1086;&#1090;&#1072;&#1093;&#1072;&#1085;_05_&#1094;&#1077;&#1085;&#1072;&#1082;&#1091;&#1088;&#1089;_&#1083;&#1080;&#1082;&#1074;_&#1084;&#1072;&#1082;&#1088;&#1086;&#1089;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 rtl="0">
              <a:defRPr sz="12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0"/>
              <a:t>Диаграмма анализа чувствительности проекта "Паук"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 rtl="0">
            <a:defRPr sz="1200" b="0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Чувствительность!$B$29</c:f>
              <c:strCache>
                <c:ptCount val="1"/>
                <c:pt idx="0">
                  <c:v>Цена на нефть</c:v>
                </c:pt>
              </c:strCache>
            </c:strRef>
          </c:tx>
          <c:spPr>
            <a:ln w="9525" cap="rnd">
              <a:solidFill>
                <a:schemeClr val="accent2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2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Чувствительность!$D$29:$H$29</c:f>
              <c:numCache>
                <c:formatCode>0%</c:formatCode>
                <c:ptCount val="5"/>
                <c:pt idx="0">
                  <c:v>0.8</c:v>
                </c:pt>
                <c:pt idx="1">
                  <c:v>0.9</c:v>
                </c:pt>
                <c:pt idx="2">
                  <c:v>1</c:v>
                </c:pt>
                <c:pt idx="3">
                  <c:v>1.1000000000000001</c:v>
                </c:pt>
                <c:pt idx="4">
                  <c:v>1.2000000000000002</c:v>
                </c:pt>
              </c:numCache>
            </c:numRef>
          </c:xVal>
          <c:yVal>
            <c:numRef>
              <c:f>Чувствительность!$D$30:$H$30</c:f>
              <c:numCache>
                <c:formatCode>#,##0</c:formatCode>
                <c:ptCount val="5"/>
                <c:pt idx="0">
                  <c:v>8492793.7283129562</c:v>
                </c:pt>
                <c:pt idx="1">
                  <c:v>19135238.710816905</c:v>
                </c:pt>
                <c:pt idx="2">
                  <c:v>29972203.291877035</c:v>
                </c:pt>
                <c:pt idx="3">
                  <c:v>40031681.451693632</c:v>
                </c:pt>
                <c:pt idx="4">
                  <c:v>49322604.908992097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2E6-4418-BF3E-A1E7BCCE0690}"/>
            </c:ext>
          </c:extLst>
        </c:ser>
        <c:ser>
          <c:idx val="3"/>
          <c:order val="1"/>
          <c:tx>
            <c:strRef>
              <c:f>Чувствительность!$B$43</c:f>
              <c:strCache>
                <c:ptCount val="1"/>
                <c:pt idx="0">
                  <c:v>Добыча</c:v>
                </c:pt>
              </c:strCache>
            </c:strRef>
          </c:tx>
          <c:spPr>
            <a:ln w="9525" cap="rnd">
              <a:solidFill>
                <a:schemeClr val="accent4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4">
                      <a:shade val="51000"/>
                      <a:satMod val="130000"/>
                    </a:schemeClr>
                  </a:gs>
                  <a:gs pos="80000">
                    <a:schemeClr val="accent4">
                      <a:shade val="93000"/>
                      <a:satMod val="130000"/>
                    </a:schemeClr>
                  </a:gs>
                  <a:gs pos="100000">
                    <a:schemeClr val="accent4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4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Чувствительность!$D$43:$H$43</c:f>
              <c:numCache>
                <c:formatCode>0%</c:formatCode>
                <c:ptCount val="5"/>
                <c:pt idx="0">
                  <c:v>0.8</c:v>
                </c:pt>
                <c:pt idx="1">
                  <c:v>0.9</c:v>
                </c:pt>
                <c:pt idx="2">
                  <c:v>1</c:v>
                </c:pt>
                <c:pt idx="3">
                  <c:v>1.1000000000000001</c:v>
                </c:pt>
                <c:pt idx="4">
                  <c:v>1.2000000000000002</c:v>
                </c:pt>
              </c:numCache>
            </c:numRef>
          </c:xVal>
          <c:yVal>
            <c:numRef>
              <c:f>Чувствительность!$D$44:$H$44</c:f>
              <c:numCache>
                <c:formatCode>#,##0</c:formatCode>
                <c:ptCount val="5"/>
                <c:pt idx="0">
                  <c:v>13988439.032016415</c:v>
                </c:pt>
                <c:pt idx="1">
                  <c:v>21971943.875934318</c:v>
                </c:pt>
                <c:pt idx="2">
                  <c:v>29972203.291877035</c:v>
                </c:pt>
                <c:pt idx="3">
                  <c:v>37633219.888973437</c:v>
                </c:pt>
                <c:pt idx="4">
                  <c:v>44863272.423238218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2E6-4418-BF3E-A1E7BCCE0690}"/>
            </c:ext>
          </c:extLst>
        </c:ser>
        <c:ser>
          <c:idx val="4"/>
          <c:order val="2"/>
          <c:tx>
            <c:strRef>
              <c:f>Чувствительность!$B$41</c:f>
              <c:strCache>
                <c:ptCount val="1"/>
                <c:pt idx="0">
                  <c:v>Эксплуатационные затраты</c:v>
                </c:pt>
              </c:strCache>
            </c:strRef>
          </c:tx>
          <c:spPr>
            <a:ln w="9525" cap="rnd">
              <a:solidFill>
                <a:schemeClr val="accent5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5">
                      <a:shade val="51000"/>
                      <a:satMod val="130000"/>
                    </a:schemeClr>
                  </a:gs>
                  <a:gs pos="80000">
                    <a:schemeClr val="accent5">
                      <a:shade val="93000"/>
                      <a:satMod val="130000"/>
                    </a:schemeClr>
                  </a:gs>
                  <a:gs pos="100000">
                    <a:schemeClr val="accent5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5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Чувствительность!$D$41:$H$41</c:f>
              <c:numCache>
                <c:formatCode>0%</c:formatCode>
                <c:ptCount val="5"/>
                <c:pt idx="0">
                  <c:v>0.8</c:v>
                </c:pt>
                <c:pt idx="1">
                  <c:v>0.9</c:v>
                </c:pt>
                <c:pt idx="2">
                  <c:v>1</c:v>
                </c:pt>
                <c:pt idx="3">
                  <c:v>1.1000000000000001</c:v>
                </c:pt>
                <c:pt idx="4">
                  <c:v>1.2000000000000002</c:v>
                </c:pt>
              </c:numCache>
            </c:numRef>
          </c:xVal>
          <c:yVal>
            <c:numRef>
              <c:f>Чувствительность!$D$42:$H$42</c:f>
              <c:numCache>
                <c:formatCode>#,##0</c:formatCode>
                <c:ptCount val="5"/>
                <c:pt idx="0">
                  <c:v>53647863.427046664</c:v>
                </c:pt>
                <c:pt idx="1">
                  <c:v>41764958.36559917</c:v>
                </c:pt>
                <c:pt idx="2">
                  <c:v>29972203.291877035</c:v>
                </c:pt>
                <c:pt idx="3">
                  <c:v>18378991.510242257</c:v>
                </c:pt>
                <c:pt idx="4">
                  <c:v>7363922.0465795603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2E6-4418-BF3E-A1E7BCCE0690}"/>
            </c:ext>
          </c:extLst>
        </c:ser>
        <c:ser>
          <c:idx val="5"/>
          <c:order val="3"/>
          <c:tx>
            <c:strRef>
              <c:f>Чувствительность!$B$39</c:f>
              <c:strCache>
                <c:ptCount val="1"/>
                <c:pt idx="0">
                  <c:v>Капитальные вложения (Разработка)</c:v>
                </c:pt>
              </c:strCache>
            </c:strRef>
          </c:tx>
          <c:spPr>
            <a:ln w="9525" cap="rnd">
              <a:solidFill>
                <a:schemeClr val="accent6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6">
                      <a:shade val="51000"/>
                      <a:satMod val="130000"/>
                    </a:schemeClr>
                  </a:gs>
                  <a:gs pos="80000">
                    <a:schemeClr val="accent6">
                      <a:shade val="93000"/>
                      <a:satMod val="130000"/>
                    </a:schemeClr>
                  </a:gs>
                  <a:gs pos="100000">
                    <a:schemeClr val="accent6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6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Чувствительность!$D$39:$H$39</c:f>
              <c:numCache>
                <c:formatCode>0%</c:formatCode>
                <c:ptCount val="5"/>
                <c:pt idx="0">
                  <c:v>0.8</c:v>
                </c:pt>
                <c:pt idx="1">
                  <c:v>0.9</c:v>
                </c:pt>
                <c:pt idx="2">
                  <c:v>1</c:v>
                </c:pt>
                <c:pt idx="3">
                  <c:v>1.1000000000000001</c:v>
                </c:pt>
                <c:pt idx="4">
                  <c:v>1.2000000000000002</c:v>
                </c:pt>
              </c:numCache>
            </c:numRef>
          </c:xVal>
          <c:yVal>
            <c:numRef>
              <c:f>Чувствительность!$D$40:$H$40</c:f>
              <c:numCache>
                <c:formatCode>#,##0</c:formatCode>
                <c:ptCount val="5"/>
                <c:pt idx="0">
                  <c:v>31285034.636120453</c:v>
                </c:pt>
                <c:pt idx="1">
                  <c:v>30634180.930171363</c:v>
                </c:pt>
                <c:pt idx="2">
                  <c:v>29972203.291877035</c:v>
                </c:pt>
                <c:pt idx="3">
                  <c:v>29308508.075949442</c:v>
                </c:pt>
                <c:pt idx="4">
                  <c:v>28641735.758715369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2E6-4418-BF3E-A1E7BCCE0690}"/>
            </c:ext>
          </c:extLst>
        </c:ser>
        <c:ser>
          <c:idx val="6"/>
          <c:order val="4"/>
          <c:tx>
            <c:strRef>
              <c:f>Чувствительность!$B$37</c:f>
              <c:strCache>
                <c:ptCount val="1"/>
              </c:strCache>
            </c:strRef>
          </c:tx>
          <c:spPr>
            <a:ln w="9525" cap="rnd">
              <a:solidFill>
                <a:schemeClr val="accent1">
                  <a:lumMod val="60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lumMod val="60000"/>
                      <a:shade val="51000"/>
                      <a:satMod val="130000"/>
                    </a:schemeClr>
                  </a:gs>
                  <a:gs pos="80000">
                    <a:schemeClr val="accent1">
                      <a:lumMod val="60000"/>
                      <a:shade val="93000"/>
                      <a:satMod val="130000"/>
                    </a:schemeClr>
                  </a:gs>
                  <a:gs pos="100000">
                    <a:schemeClr val="accent1">
                      <a:lumMod val="60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>
                    <a:lumMod val="60000"/>
                  </a:schemeClr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Чувствительность!$D$37:$F$37</c:f>
            </c:numRef>
          </c:xVal>
          <c:yVal>
            <c:numRef>
              <c:f>Чувствительность!$D$38:$F$38</c:f>
            </c:numRef>
          </c:yVal>
          <c:smooth val="0"/>
          <c:extLst>
            <c:ext xmlns:c16="http://schemas.microsoft.com/office/drawing/2014/chart" uri="{C3380CC4-5D6E-409C-BE32-E72D297353CC}">
              <c16:uniqueId val="{00000004-B2E6-4418-BF3E-A1E7BCCE0690}"/>
            </c:ext>
          </c:extLst>
        </c:ser>
        <c:ser>
          <c:idx val="7"/>
          <c:order val="5"/>
          <c:tx>
            <c:strRef>
              <c:f>Чувствительность!$B$35</c:f>
              <c:strCache>
                <c:ptCount val="1"/>
              </c:strCache>
            </c:strRef>
          </c:tx>
          <c:spPr>
            <a:ln w="9525" cap="rnd">
              <a:solidFill>
                <a:schemeClr val="accent2">
                  <a:lumMod val="60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lumMod val="60000"/>
                      <a:shade val="51000"/>
                      <a:satMod val="130000"/>
                    </a:schemeClr>
                  </a:gs>
                  <a:gs pos="80000">
                    <a:schemeClr val="accent2">
                      <a:lumMod val="60000"/>
                      <a:shade val="93000"/>
                      <a:satMod val="130000"/>
                    </a:schemeClr>
                  </a:gs>
                  <a:gs pos="100000">
                    <a:schemeClr val="accent2">
                      <a:lumMod val="60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2">
                    <a:lumMod val="60000"/>
                  </a:schemeClr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Чувствительность!$D$35:$F$35</c:f>
            </c:numRef>
          </c:xVal>
          <c:yVal>
            <c:numRef>
              <c:f>Чувствительность!$D$36:$F$36</c:f>
            </c:numRef>
          </c:yVal>
          <c:smooth val="0"/>
          <c:extLst>
            <c:ext xmlns:c16="http://schemas.microsoft.com/office/drawing/2014/chart" uri="{C3380CC4-5D6E-409C-BE32-E72D297353CC}">
              <c16:uniqueId val="{00000005-B2E6-4418-BF3E-A1E7BCCE0690}"/>
            </c:ext>
          </c:extLst>
        </c:ser>
        <c:ser>
          <c:idx val="8"/>
          <c:order val="6"/>
          <c:tx>
            <c:strRef>
              <c:f>Чувствительность!$B$33</c:f>
              <c:strCache>
                <c:ptCount val="1"/>
              </c:strCache>
            </c:strRef>
          </c:tx>
          <c:spPr>
            <a:ln w="9525" cap="rnd">
              <a:solidFill>
                <a:schemeClr val="accent3">
                  <a:lumMod val="60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3">
                      <a:lumMod val="60000"/>
                      <a:shade val="51000"/>
                      <a:satMod val="130000"/>
                    </a:schemeClr>
                  </a:gs>
                  <a:gs pos="80000">
                    <a:schemeClr val="accent3">
                      <a:lumMod val="60000"/>
                      <a:shade val="93000"/>
                      <a:satMod val="130000"/>
                    </a:schemeClr>
                  </a:gs>
                  <a:gs pos="100000">
                    <a:schemeClr val="accent3">
                      <a:lumMod val="60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3">
                    <a:lumMod val="60000"/>
                  </a:schemeClr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Чувствительность!$D$33:$F$33</c:f>
            </c:numRef>
          </c:xVal>
          <c:yVal>
            <c:numRef>
              <c:f>Чувствительность!$D$34:$F$34</c:f>
            </c:numRef>
          </c:yVal>
          <c:smooth val="0"/>
          <c:extLst>
            <c:ext xmlns:c16="http://schemas.microsoft.com/office/drawing/2014/chart" uri="{C3380CC4-5D6E-409C-BE32-E72D297353CC}">
              <c16:uniqueId val="{00000006-B2E6-4418-BF3E-A1E7BCCE0690}"/>
            </c:ext>
          </c:extLst>
        </c:ser>
        <c:ser>
          <c:idx val="0"/>
          <c:order val="7"/>
          <c:tx>
            <c:strRef>
              <c:f>Чувствительность!$B$31</c:f>
              <c:strCache>
                <c:ptCount val="1"/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Чувствительность!$D$31:$H$31</c:f>
            </c:numRef>
          </c:xVal>
          <c:yVal>
            <c:numRef>
              <c:f>Чувствительность!$D$32:$H$32</c:f>
            </c:numRef>
          </c:yVal>
          <c:smooth val="0"/>
          <c:extLst>
            <c:ext xmlns:c16="http://schemas.microsoft.com/office/drawing/2014/chart" uri="{C3380CC4-5D6E-409C-BE32-E72D297353CC}">
              <c16:uniqueId val="{00000007-B2E6-4418-BF3E-A1E7BCCE06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4988080"/>
        <c:axId val="344988640"/>
      </c:scatterChart>
      <c:valAx>
        <c:axId val="344988080"/>
        <c:scaling>
          <c:orientation val="minMax"/>
          <c:max val="1.3"/>
          <c:min val="0.70000000000000007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44988640"/>
        <c:crosses val="autoZero"/>
        <c:crossBetween val="midCat"/>
      </c:valAx>
      <c:valAx>
        <c:axId val="344988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449880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Диграмма анализа чувствительности проекта "Торнадо"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8396137990344394"/>
          <c:y val="0.17662339869854207"/>
          <c:w val="0.59825984259505371"/>
          <c:h val="0.7436976989316640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Чувствительность!$E$3</c:f>
              <c:strCache>
                <c:ptCount val="1"/>
                <c:pt idx="0">
                  <c:v>-40%</c:v>
                </c:pt>
              </c:strCache>
            </c:strRef>
          </c:tx>
          <c:spPr>
            <a:solidFill>
              <a:srgbClr val="002060"/>
            </a:solidFill>
            <a:ln>
              <a:noFill/>
            </a:ln>
            <a:effectLst/>
          </c:spPr>
          <c:invertIfNegative val="0"/>
          <c:cat>
            <c:strRef>
              <c:f>Чувствительность!$B$4:$B$12</c:f>
              <c:strCache>
                <c:ptCount val="4"/>
                <c:pt idx="0">
                  <c:v>Капитальные вложения (Разработка)</c:v>
                </c:pt>
                <c:pt idx="1">
                  <c:v>Эксплуатационные затраты</c:v>
                </c:pt>
                <c:pt idx="2">
                  <c:v>Добыча</c:v>
                </c:pt>
                <c:pt idx="3">
                  <c:v>Цена на нефть</c:v>
                </c:pt>
              </c:strCache>
            </c:strRef>
          </c:cat>
          <c:val>
            <c:numRef>
              <c:f>Чувствительность!$E$4:$E$12</c:f>
              <c:numCache>
                <c:formatCode>0%</c:formatCode>
                <c:ptCount val="4"/>
                <c:pt idx="0">
                  <c:v>1.6647514562288978E-2</c:v>
                </c:pt>
                <c:pt idx="1">
                  <c:v>0.24063024748099335</c:v>
                </c:pt>
                <c:pt idx="2">
                  <c:v>-0.28471965564144691</c:v>
                </c:pt>
                <c:pt idx="3">
                  <c:v>-0.42867821054722688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23A-48CB-8C7E-C07DB76FDD65}"/>
            </c:ext>
          </c:extLst>
        </c:ser>
        <c:ser>
          <c:idx val="1"/>
          <c:order val="1"/>
          <c:tx>
            <c:strRef>
              <c:f>Чувствительность!$F$3</c:f>
              <c:strCache>
                <c:ptCount val="1"/>
                <c:pt idx="0">
                  <c:v>40%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strRef>
              <c:f>Чувствительность!$B$4:$B$12</c:f>
              <c:strCache>
                <c:ptCount val="4"/>
                <c:pt idx="0">
                  <c:v>Капитальные вложения (Разработка)</c:v>
                </c:pt>
                <c:pt idx="1">
                  <c:v>Эксплуатационные затраты</c:v>
                </c:pt>
                <c:pt idx="2">
                  <c:v>Добыча</c:v>
                </c:pt>
                <c:pt idx="3">
                  <c:v>Цена на нефть</c:v>
                </c:pt>
              </c:strCache>
            </c:strRef>
          </c:cat>
          <c:val>
            <c:numRef>
              <c:f>Чувствительность!$F$4:$F$12</c:f>
              <c:numCache>
                <c:formatCode>0%</c:formatCode>
                <c:ptCount val="4"/>
                <c:pt idx="0">
                  <c:v>-1.6679233718650356E-2</c:v>
                </c:pt>
                <c:pt idx="1">
                  <c:v>-0.23815203800354637</c:v>
                </c:pt>
                <c:pt idx="2">
                  <c:v>0.26998311742560066</c:v>
                </c:pt>
                <c:pt idx="3">
                  <c:v>0.40761260239817648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23A-48CB-8C7E-C07DB76FDD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overlap val="100"/>
        <c:axId val="279660832"/>
        <c:axId val="279661392"/>
      </c:barChart>
      <c:catAx>
        <c:axId val="27966083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9661392"/>
        <c:crosses val="autoZero"/>
        <c:auto val="1"/>
        <c:lblAlgn val="ctr"/>
        <c:lblOffset val="100"/>
        <c:noMultiLvlLbl val="0"/>
      </c:catAx>
      <c:valAx>
        <c:axId val="279661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9660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2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2"/>
    <cs:fontRef idx="minor">
      <a:schemeClr val="tx2"/>
    </cs:fontRef>
    <cs:spPr>
      <a:ln w="9525">
        <a:solidFill>
          <a:schemeClr val="phClr"/>
        </a:solidFill>
        <a:round/>
      </a:ln>
    </cs:spPr>
  </cs:dataPointMarker>
  <cs:dataPointMarkerLayout symbol="circle" size="5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spPr>
      <a:ln>
        <a:solidFill>
          <a:schemeClr val="tx2">
            <a:lumMod val="40000"/>
            <a:lumOff val="60000"/>
          </a:schemeClr>
        </a:solidFill>
      </a:ln>
    </cs:spPr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9FF0B-61D0-45B0-A06D-58B18F568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4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Матжанова Марта</dc:creator>
  <cp:lastModifiedBy>Мұратова Айнұр Мұратқызы</cp:lastModifiedBy>
  <cp:revision>159</cp:revision>
  <cp:lastPrinted>2016-05-24T09:13:00Z</cp:lastPrinted>
  <dcterms:created xsi:type="dcterms:W3CDTF">2016-05-24T10:14:00Z</dcterms:created>
  <dcterms:modified xsi:type="dcterms:W3CDTF">2022-06-28T10:45:00Z</dcterms:modified>
</cp:coreProperties>
</file>